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BA3" w14:textId="269B2BA4" w:rsidR="003929AA" w:rsidRPr="00940504" w:rsidRDefault="00F4026C">
      <w:pPr>
        <w:pStyle w:val="Nadpis1"/>
        <w:rPr>
          <w:b/>
          <w:bCs/>
          <w:lang w:val="en-US"/>
        </w:rPr>
      </w:pPr>
      <w:r w:rsidRPr="00940504">
        <w:rPr>
          <w:b/>
          <w:bCs/>
          <w:lang w:val="en-US"/>
        </w:rPr>
        <w:t xml:space="preserve">TERRE, MARI, PICASSO </w:t>
      </w:r>
      <w:r w:rsidR="006B425F" w:rsidRPr="00940504">
        <w:rPr>
          <w:b/>
          <w:bCs/>
          <w:lang w:val="en-US"/>
        </w:rPr>
        <w:t xml:space="preserve">principles for </w:t>
      </w:r>
      <w:r w:rsidR="00497FEE" w:rsidRPr="00940504">
        <w:rPr>
          <w:b/>
          <w:bCs/>
          <w:lang w:val="en-US"/>
        </w:rPr>
        <w:t xml:space="preserve">transferring </w:t>
      </w:r>
      <w:r w:rsidR="00FE7385">
        <w:rPr>
          <w:b/>
          <w:bCs/>
          <w:lang w:val="en-US"/>
        </w:rPr>
        <w:t xml:space="preserve">Balancing energy (BE) </w:t>
      </w:r>
      <w:r w:rsidRPr="00940504">
        <w:rPr>
          <w:b/>
          <w:bCs/>
          <w:lang w:val="en-US"/>
        </w:rPr>
        <w:t xml:space="preserve">data </w:t>
      </w:r>
      <w:r w:rsidR="00497FEE" w:rsidRPr="00940504">
        <w:rPr>
          <w:b/>
          <w:bCs/>
          <w:lang w:val="en-US"/>
        </w:rPr>
        <w:t xml:space="preserve">from European platforms </w:t>
      </w:r>
      <w:r w:rsidRPr="00940504">
        <w:rPr>
          <w:b/>
          <w:bCs/>
          <w:lang w:val="en-US"/>
        </w:rPr>
        <w:t xml:space="preserve">to CS OTE </w:t>
      </w:r>
      <w:r w:rsidR="00C80E52" w:rsidRPr="00940504">
        <w:rPr>
          <w:b/>
          <w:bCs/>
          <w:lang w:val="en-US"/>
        </w:rPr>
        <w:t>(</w:t>
      </w:r>
      <w:r w:rsidR="00C80E52" w:rsidRPr="00940504">
        <w:rPr>
          <w:b/>
          <w:bCs/>
          <w:highlight w:val="yellow"/>
          <w:lang w:val="en-US"/>
        </w:rPr>
        <w:t xml:space="preserve">valid </w:t>
      </w:r>
      <w:r w:rsidR="005A7FEE" w:rsidRPr="00940504">
        <w:rPr>
          <w:b/>
          <w:bCs/>
          <w:highlight w:val="yellow"/>
          <w:lang w:val="en-US"/>
        </w:rPr>
        <w:t xml:space="preserve">for data </w:t>
      </w:r>
      <w:r w:rsidR="00C80E52" w:rsidRPr="00940504">
        <w:rPr>
          <w:b/>
          <w:bCs/>
          <w:highlight w:val="yellow"/>
          <w:lang w:val="en-US"/>
        </w:rPr>
        <w:t xml:space="preserve">from </w:t>
      </w:r>
      <w:r w:rsidR="00FE7385">
        <w:rPr>
          <w:b/>
          <w:bCs/>
          <w:highlight w:val="yellow"/>
          <w:lang w:val="en-US"/>
        </w:rPr>
        <w:t xml:space="preserve">July </w:t>
      </w:r>
      <w:r w:rsidR="00C80E52" w:rsidRPr="00940504">
        <w:rPr>
          <w:b/>
          <w:bCs/>
          <w:highlight w:val="yellow"/>
          <w:lang w:val="en-US"/>
        </w:rPr>
        <w:t>2024</w:t>
      </w:r>
      <w:r w:rsidR="00C80E52" w:rsidRPr="00940504">
        <w:rPr>
          <w:b/>
          <w:bCs/>
          <w:lang w:val="en-US"/>
        </w:rPr>
        <w:t>):</w:t>
      </w:r>
    </w:p>
    <w:p w14:paraId="683856F5" w14:textId="77777777" w:rsidR="003929AA" w:rsidRPr="00940504" w:rsidRDefault="00F4026C">
      <w:pPr>
        <w:pStyle w:val="Nadpis2"/>
        <w:numPr>
          <w:ilvl w:val="0"/>
          <w:numId w:val="2"/>
        </w:numPr>
        <w:rPr>
          <w:lang w:val="en-US"/>
        </w:rPr>
      </w:pPr>
      <w:r w:rsidRPr="00940504">
        <w:rPr>
          <w:lang w:val="en-US"/>
        </w:rPr>
        <w:t>Home</w:t>
      </w:r>
    </w:p>
    <w:p w14:paraId="546CDE6D" w14:textId="29D74198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As part of the transition to the European platforms for the </w:t>
      </w:r>
      <w:r w:rsidR="00AA768E" w:rsidRPr="00940504">
        <w:rPr>
          <w:lang w:val="en-US"/>
        </w:rPr>
        <w:t xml:space="preserve">exchange of </w:t>
      </w:r>
      <w:r w:rsidR="00FE7385">
        <w:rPr>
          <w:lang w:val="en-US"/>
        </w:rPr>
        <w:t>balancing</w:t>
      </w:r>
      <w:r w:rsidRPr="00940504">
        <w:rPr>
          <w:lang w:val="en-US"/>
        </w:rPr>
        <w:t xml:space="preserve"> </w:t>
      </w:r>
      <w:r w:rsidR="00AA768E" w:rsidRPr="00940504">
        <w:rPr>
          <w:lang w:val="en-US"/>
        </w:rPr>
        <w:t xml:space="preserve">energy </w:t>
      </w:r>
      <w:r w:rsidRPr="00940504">
        <w:rPr>
          <w:lang w:val="en-US"/>
        </w:rPr>
        <w:t xml:space="preserve">TERRE (RR), MARI (mFRR) and PICASSO (aFRR), </w:t>
      </w:r>
      <w:r w:rsidR="00AA768E" w:rsidRPr="00940504">
        <w:rPr>
          <w:lang w:val="en-US"/>
        </w:rPr>
        <w:t xml:space="preserve">a </w:t>
      </w:r>
      <w:r w:rsidRPr="00940504">
        <w:rPr>
          <w:lang w:val="en-US"/>
        </w:rPr>
        <w:t xml:space="preserve">new way of transferring data on provided SVR services between ČEPS and OTE is being implemented. The TERRE platform has already been implemented </w:t>
      </w:r>
      <w:r w:rsidR="00AA768E" w:rsidRPr="00940504">
        <w:rPr>
          <w:lang w:val="en-US"/>
        </w:rPr>
        <w:t xml:space="preserve">in CS OTE </w:t>
      </w:r>
      <w:r w:rsidR="00660346" w:rsidRPr="00940504">
        <w:rPr>
          <w:lang w:val="en-US"/>
        </w:rPr>
        <w:t>in 2020, however its operation is also covered in this document.</w:t>
      </w:r>
    </w:p>
    <w:p w14:paraId="6F9DEB3D" w14:textId="77777777" w:rsidR="003929AA" w:rsidRPr="00940504" w:rsidRDefault="00F4026C">
      <w:pPr>
        <w:pStyle w:val="Nadpis2"/>
        <w:numPr>
          <w:ilvl w:val="0"/>
          <w:numId w:val="2"/>
        </w:numPr>
        <w:jc w:val="both"/>
        <w:rPr>
          <w:lang w:val="en-US"/>
        </w:rPr>
      </w:pPr>
      <w:r w:rsidRPr="00940504">
        <w:rPr>
          <w:lang w:val="en-US"/>
        </w:rPr>
        <w:t>Structure of transmitted data and meaning of individual profile values</w:t>
      </w:r>
    </w:p>
    <w:p w14:paraId="185675BA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The structure of the data transmitted by the </w:t>
      </w:r>
      <w:r w:rsidR="00AA768E" w:rsidRPr="00940504">
        <w:rPr>
          <w:lang w:val="en-US"/>
        </w:rPr>
        <w:t xml:space="preserve">EAN </w:t>
      </w:r>
      <w:r w:rsidRPr="00940504">
        <w:rPr>
          <w:lang w:val="en-US"/>
        </w:rPr>
        <w:t xml:space="preserve">OPM for the registration of data from the </w:t>
      </w:r>
      <w:r w:rsidR="00AA768E" w:rsidRPr="00940504">
        <w:rPr>
          <w:lang w:val="en-US"/>
        </w:rPr>
        <w:t xml:space="preserve">European </w:t>
      </w:r>
      <w:r w:rsidRPr="00940504">
        <w:rPr>
          <w:lang w:val="en-US"/>
        </w:rPr>
        <w:t xml:space="preserve">Regulatory </w:t>
      </w:r>
      <w:r w:rsidR="00AA768E" w:rsidRPr="00940504">
        <w:rPr>
          <w:lang w:val="en-US"/>
        </w:rPr>
        <w:t>Energy Exchange</w:t>
      </w:r>
      <w:r w:rsidRPr="00940504">
        <w:rPr>
          <w:lang w:val="en-US"/>
        </w:rPr>
        <w:t xml:space="preserve"> Platforms is described by the meaning of the individual profile roles. Each profile role is composed of </w:t>
      </w:r>
      <w:r w:rsidR="00F20337" w:rsidRPr="00940504">
        <w:rPr>
          <w:lang w:val="en-US"/>
        </w:rPr>
        <w:t xml:space="preserve">3 </w:t>
      </w:r>
      <w:r w:rsidRPr="00940504">
        <w:rPr>
          <w:lang w:val="en-US"/>
        </w:rPr>
        <w:t>characters:</w:t>
      </w:r>
    </w:p>
    <w:p w14:paraId="47EF3012" w14:textId="4BF32CA1" w:rsidR="003929AA" w:rsidRPr="00940504" w:rsidRDefault="00F4026C">
      <w:pPr>
        <w:pStyle w:val="Odstavecseseznamem"/>
        <w:numPr>
          <w:ilvl w:val="6"/>
          <w:numId w:val="2"/>
        </w:numPr>
        <w:ind w:left="567" w:hanging="141"/>
        <w:jc w:val="both"/>
        <w:rPr>
          <w:lang w:val="en-US"/>
        </w:rPr>
      </w:pPr>
      <w:r w:rsidRPr="00940504">
        <w:rPr>
          <w:u w:val="single"/>
          <w:lang w:val="en-US"/>
        </w:rPr>
        <w:t xml:space="preserve">The first character </w:t>
      </w:r>
      <w:r w:rsidRPr="00940504">
        <w:rPr>
          <w:lang w:val="en-US"/>
        </w:rPr>
        <w:t xml:space="preserve">indicates the platform for the </w:t>
      </w:r>
      <w:r w:rsidR="00AA768E" w:rsidRPr="00940504">
        <w:rPr>
          <w:lang w:val="en-US"/>
        </w:rPr>
        <w:t xml:space="preserve">exchange of </w:t>
      </w:r>
      <w:r w:rsidR="00FE7385">
        <w:rPr>
          <w:lang w:val="en-US"/>
        </w:rPr>
        <w:t>balancing</w:t>
      </w:r>
      <w:r w:rsidRPr="00940504">
        <w:rPr>
          <w:lang w:val="en-US"/>
        </w:rPr>
        <w:t xml:space="preserve"> </w:t>
      </w:r>
      <w:r w:rsidR="00AA768E" w:rsidRPr="00940504">
        <w:rPr>
          <w:lang w:val="en-US"/>
        </w:rPr>
        <w:t>energy</w:t>
      </w:r>
      <w:r w:rsidRPr="00940504">
        <w:rPr>
          <w:lang w:val="en-US"/>
        </w:rPr>
        <w:t>, or its subcomponent (in the case of MARI)</w:t>
      </w:r>
      <w:r w:rsidR="00AA768E" w:rsidRPr="00940504">
        <w:rPr>
          <w:lang w:val="en-US"/>
        </w:rPr>
        <w:t xml:space="preserve">, and </w:t>
      </w:r>
      <w:r w:rsidRPr="00940504">
        <w:rPr>
          <w:lang w:val="en-US"/>
        </w:rPr>
        <w:t>takes the following values:</w:t>
      </w:r>
    </w:p>
    <w:p w14:paraId="3E13F1AA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>T - TERRE platform</w:t>
      </w:r>
    </w:p>
    <w:p w14:paraId="1E2AD968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>S - MARI platform scheduled activation</w:t>
      </w:r>
    </w:p>
    <w:p w14:paraId="6CE32BAB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>D - MARI platform direct activation</w:t>
      </w:r>
    </w:p>
    <w:p w14:paraId="620F247F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>P - PICASSO platform</w:t>
      </w:r>
    </w:p>
    <w:p w14:paraId="79F81332" w14:textId="77777777" w:rsidR="003929AA" w:rsidRPr="00940504" w:rsidRDefault="00F4026C">
      <w:pPr>
        <w:pStyle w:val="Odstavecseseznamem"/>
        <w:numPr>
          <w:ilvl w:val="6"/>
          <w:numId w:val="2"/>
        </w:numPr>
        <w:ind w:left="567" w:hanging="141"/>
        <w:jc w:val="both"/>
        <w:rPr>
          <w:lang w:val="en-US"/>
        </w:rPr>
      </w:pPr>
      <w:r w:rsidRPr="00940504">
        <w:rPr>
          <w:u w:val="single"/>
          <w:lang w:val="en-US"/>
        </w:rPr>
        <w:t xml:space="preserve">The second character </w:t>
      </w:r>
      <w:r w:rsidR="00125665" w:rsidRPr="00940504">
        <w:rPr>
          <w:lang w:val="en-US"/>
        </w:rPr>
        <w:t xml:space="preserve">indicates </w:t>
      </w:r>
      <w:r w:rsidRPr="00940504">
        <w:rPr>
          <w:lang w:val="en-US"/>
        </w:rPr>
        <w:t>whether it is a quantity or price profile:</w:t>
      </w:r>
    </w:p>
    <w:p w14:paraId="3D05570E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 xml:space="preserve">V - value, i.e. quantity profile </w:t>
      </w:r>
      <w:r w:rsidR="00AA768E" w:rsidRPr="00940504">
        <w:rPr>
          <w:lang w:val="en-US"/>
        </w:rPr>
        <w:t>[kWh,</w:t>
      </w:r>
      <w:r w:rsidR="000511A2" w:rsidRPr="00940504">
        <w:rPr>
          <w:lang w:val="en-US"/>
        </w:rPr>
        <w:t>2 decimal places</w:t>
      </w:r>
      <w:r w:rsidR="00AA768E" w:rsidRPr="00940504">
        <w:rPr>
          <w:lang w:val="en-US"/>
        </w:rPr>
        <w:t>]</w:t>
      </w:r>
    </w:p>
    <w:p w14:paraId="10E99186" w14:textId="77777777" w:rsidR="003929AA" w:rsidRPr="00940504" w:rsidRDefault="00F4026C">
      <w:pPr>
        <w:pStyle w:val="Odstavecseseznamem"/>
        <w:numPr>
          <w:ilvl w:val="7"/>
          <w:numId w:val="2"/>
        </w:numPr>
        <w:jc w:val="both"/>
        <w:rPr>
          <w:lang w:val="en-US"/>
        </w:rPr>
      </w:pPr>
      <w:r w:rsidRPr="00940504">
        <w:rPr>
          <w:lang w:val="en-US"/>
        </w:rPr>
        <w:t xml:space="preserve">P - price, i.e. price profile </w:t>
      </w:r>
      <w:r w:rsidR="00AA768E" w:rsidRPr="00940504">
        <w:rPr>
          <w:lang w:val="en-US"/>
        </w:rPr>
        <w:t>[CZK/MWh, 2 decimal places]</w:t>
      </w:r>
    </w:p>
    <w:p w14:paraId="6B80888F" w14:textId="541EF1EF" w:rsidR="003929AA" w:rsidRPr="00940504" w:rsidRDefault="00F4026C">
      <w:pPr>
        <w:pStyle w:val="Odstavecseseznamem"/>
        <w:numPr>
          <w:ilvl w:val="6"/>
          <w:numId w:val="2"/>
        </w:numPr>
        <w:ind w:left="567" w:hanging="141"/>
        <w:jc w:val="both"/>
        <w:rPr>
          <w:lang w:val="en-US"/>
        </w:rPr>
      </w:pPr>
      <w:r w:rsidRPr="00940504">
        <w:rPr>
          <w:u w:val="single"/>
          <w:lang w:val="en-US"/>
        </w:rPr>
        <w:t xml:space="preserve">The third </w:t>
      </w:r>
      <w:r w:rsidR="00F06815" w:rsidRPr="00940504">
        <w:rPr>
          <w:u w:val="single"/>
          <w:lang w:val="en-US"/>
        </w:rPr>
        <w:t xml:space="preserve">character </w:t>
      </w:r>
      <w:r w:rsidR="00F06815" w:rsidRPr="00940504">
        <w:rPr>
          <w:lang w:val="en-US"/>
        </w:rPr>
        <w:t xml:space="preserve">specifies the meaning of the profile (described in more detail in the tables below). The specificity is that the odd numbered profile is for reporting </w:t>
      </w:r>
      <w:r w:rsidR="00FE7385">
        <w:rPr>
          <w:lang w:val="en-US"/>
        </w:rPr>
        <w:t>B</w:t>
      </w:r>
      <w:r w:rsidR="00F06815" w:rsidRPr="00940504">
        <w:rPr>
          <w:lang w:val="en-US"/>
        </w:rPr>
        <w:t xml:space="preserve">E+, the even numbered profile is for reporting </w:t>
      </w:r>
      <w:r w:rsidR="00FE7385">
        <w:rPr>
          <w:lang w:val="en-US"/>
        </w:rPr>
        <w:t>B</w:t>
      </w:r>
      <w:r w:rsidR="00F06815" w:rsidRPr="00940504">
        <w:rPr>
          <w:lang w:val="en-US"/>
        </w:rPr>
        <w:t>E- data.</w:t>
      </w:r>
    </w:p>
    <w:p w14:paraId="3D03CFB5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All profile values are </w:t>
      </w:r>
      <w:r w:rsidR="002B3E8A" w:rsidRPr="00940504">
        <w:rPr>
          <w:lang w:val="en-US"/>
        </w:rPr>
        <w:t xml:space="preserve">15-minute </w:t>
      </w:r>
      <w:r w:rsidRPr="00940504">
        <w:rPr>
          <w:lang w:val="en-US"/>
        </w:rPr>
        <w:t>values</w:t>
      </w:r>
      <w:r w:rsidR="002B3E8A" w:rsidRPr="00940504">
        <w:rPr>
          <w:lang w:val="en-US"/>
        </w:rPr>
        <w:t>.</w:t>
      </w:r>
    </w:p>
    <w:p w14:paraId="56443309" w14:textId="1E711ACB" w:rsidR="003929AA" w:rsidRPr="00940504" w:rsidRDefault="00FE7385">
      <w:pPr>
        <w:jc w:val="both"/>
        <w:rPr>
          <w:lang w:val="en-US"/>
        </w:rPr>
      </w:pPr>
      <w:r>
        <w:rPr>
          <w:lang w:val="en-US"/>
        </w:rPr>
        <w:t>The</w:t>
      </w:r>
      <w:r w:rsidR="00F4026C" w:rsidRPr="00940504">
        <w:rPr>
          <w:lang w:val="en-US"/>
        </w:rPr>
        <w:t xml:space="preserve"> description of the structure and </w:t>
      </w:r>
      <w:r w:rsidR="006B425F" w:rsidRPr="00940504">
        <w:rPr>
          <w:lang w:val="en-US"/>
        </w:rPr>
        <w:t xml:space="preserve">XSD </w:t>
      </w:r>
      <w:r w:rsidR="00F4026C" w:rsidRPr="00940504">
        <w:rPr>
          <w:lang w:val="en-US"/>
        </w:rPr>
        <w:t xml:space="preserve">templates for recording </w:t>
      </w:r>
      <w:r>
        <w:rPr>
          <w:lang w:val="en-US"/>
        </w:rPr>
        <w:t>B</w:t>
      </w:r>
      <w:r w:rsidR="00F4026C" w:rsidRPr="00940504">
        <w:rPr>
          <w:lang w:val="en-US"/>
        </w:rPr>
        <w:t>E data from European platforms can be found on the OTE public website:</w:t>
      </w:r>
    </w:p>
    <w:p w14:paraId="1166C9C6" w14:textId="77777777" w:rsidR="003929AA" w:rsidRPr="00940504" w:rsidRDefault="00000000">
      <w:pPr>
        <w:jc w:val="both"/>
        <w:rPr>
          <w:lang w:val="en-US"/>
        </w:rPr>
      </w:pPr>
      <w:hyperlink r:id="rId7" w:history="1">
        <w:r w:rsidR="005426D7" w:rsidRPr="00940504">
          <w:rPr>
            <w:rStyle w:val="Hypertextovodkaz"/>
            <w:lang w:val="en-US"/>
          </w:rPr>
          <w:t>https://www.ote-cr.cz/cs/dokumentace/dokumentace-elektrina/dokumentace-elektrina</w:t>
        </w:r>
      </w:hyperlink>
    </w:p>
    <w:p w14:paraId="2F575AD1" w14:textId="77777777" w:rsidR="0011764E" w:rsidRPr="00940504" w:rsidRDefault="0011764E" w:rsidP="006B425F">
      <w:pPr>
        <w:jc w:val="both"/>
        <w:rPr>
          <w:lang w:val="en-US"/>
        </w:rPr>
      </w:pPr>
      <w:r w:rsidRPr="00940504">
        <w:rPr>
          <w:lang w:val="en-US"/>
        </w:rPr>
        <w:br w:type="page"/>
      </w:r>
    </w:p>
    <w:p w14:paraId="4543CC02" w14:textId="77777777" w:rsidR="005426D7" w:rsidRPr="00940504" w:rsidRDefault="005426D7" w:rsidP="006B425F">
      <w:pPr>
        <w:jc w:val="both"/>
        <w:rPr>
          <w:lang w:val="en-US"/>
        </w:rPr>
      </w:pPr>
    </w:p>
    <w:p w14:paraId="54F63886" w14:textId="18AD6DDC" w:rsidR="003929AA" w:rsidRPr="00940504" w:rsidRDefault="00F4026C">
      <w:pPr>
        <w:pStyle w:val="Nadpis3"/>
        <w:numPr>
          <w:ilvl w:val="1"/>
          <w:numId w:val="5"/>
        </w:numPr>
        <w:jc w:val="both"/>
        <w:rPr>
          <w:b/>
          <w:bCs/>
          <w:lang w:val="en-US"/>
        </w:rPr>
      </w:pPr>
      <w:r w:rsidRPr="00940504">
        <w:rPr>
          <w:b/>
          <w:bCs/>
          <w:lang w:val="en-US"/>
        </w:rPr>
        <w:t>TERRE</w:t>
      </w:r>
      <w:r w:rsidR="004E55E6">
        <w:rPr>
          <w:b/>
          <w:bCs/>
          <w:lang w:val="en-US"/>
        </w:rPr>
        <w:t xml:space="preserve"> (RR)</w:t>
      </w:r>
    </w:p>
    <w:p w14:paraId="04E357AE" w14:textId="77777777" w:rsidR="00655448" w:rsidRPr="00940504" w:rsidRDefault="00655448" w:rsidP="006B425F">
      <w:pPr>
        <w:jc w:val="both"/>
        <w:rPr>
          <w:lang w:val="en-US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34"/>
        <w:gridCol w:w="989"/>
        <w:gridCol w:w="709"/>
        <w:gridCol w:w="1060"/>
        <w:gridCol w:w="5570"/>
      </w:tblGrid>
      <w:tr w:rsidR="00361600" w:rsidRPr="00940504" w14:paraId="17DDB0B6" w14:textId="77777777" w:rsidTr="00051F41">
        <w:trPr>
          <w:trHeight w:val="300"/>
        </w:trPr>
        <w:tc>
          <w:tcPr>
            <w:tcW w:w="524" w:type="dxa"/>
            <w:shd w:val="clear" w:color="auto" w:fill="BFBFBF"/>
            <w:noWrap/>
            <w:vAlign w:val="bottom"/>
            <w:hideMark/>
          </w:tcPr>
          <w:p w14:paraId="20A77060" w14:textId="1E7578AD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>1</w:t>
            </w:r>
            <w:r w:rsidR="000F32FB">
              <w:rPr>
                <w:rFonts w:ascii="Calibri" w:hAnsi="Calibri" w:cs="Calibri"/>
                <w:color w:val="000000"/>
                <w:lang w:val="en-US" w:eastAsia="cs-CZ"/>
              </w:rPr>
              <w:t>st</w:t>
            </w: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 xml:space="preserve"> </w:t>
            </w:r>
            <w:r w:rsidR="000F32FB">
              <w:rPr>
                <w:rFonts w:ascii="Calibri" w:hAnsi="Calibri" w:cs="Calibri"/>
                <w:color w:val="000000"/>
                <w:lang w:val="en-US" w:eastAsia="cs-CZ"/>
              </w:rPr>
              <w:t>char.</w:t>
            </w:r>
          </w:p>
        </w:tc>
        <w:tc>
          <w:tcPr>
            <w:tcW w:w="1134" w:type="dxa"/>
            <w:shd w:val="clear" w:color="auto" w:fill="BFBFBF"/>
            <w:noWrap/>
            <w:vAlign w:val="bottom"/>
            <w:hideMark/>
          </w:tcPr>
          <w:p w14:paraId="528ED543" w14:textId="10FC7AFA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 xml:space="preserve">platform 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4C9842A2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>2nd character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08410BC9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>Type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426DC3B5" w14:textId="77777777" w:rsidR="003929AA" w:rsidRPr="00940504" w:rsidRDefault="0036160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>3rd character</w:t>
            </w:r>
            <w:r w:rsidRPr="00940504">
              <w:rPr>
                <w:rStyle w:val="Znakapoznpodarou"/>
                <w:rFonts w:ascii="Calibri" w:hAnsi="Calibri" w:cs="Calibri"/>
                <w:color w:val="000000"/>
                <w:lang w:val="en-US" w:eastAsia="cs-CZ"/>
              </w:rPr>
              <w:footnoteReference w:id="1"/>
            </w:r>
          </w:p>
        </w:tc>
        <w:tc>
          <w:tcPr>
            <w:tcW w:w="5570" w:type="dxa"/>
            <w:shd w:val="clear" w:color="auto" w:fill="BFBFBF"/>
            <w:noWrap/>
            <w:vAlign w:val="bottom"/>
            <w:hideMark/>
          </w:tcPr>
          <w:p w14:paraId="07F9DE9C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n-US" w:eastAsia="cs-CZ"/>
              </w:rPr>
            </w:pPr>
            <w:r w:rsidRPr="00940504">
              <w:rPr>
                <w:rFonts w:ascii="Calibri" w:hAnsi="Calibri" w:cs="Calibri"/>
                <w:color w:val="000000"/>
                <w:lang w:val="en-US" w:eastAsia="cs-CZ"/>
              </w:rPr>
              <w:t>Purpose/territory of addressing the imbalance</w:t>
            </w:r>
          </w:p>
        </w:tc>
      </w:tr>
      <w:tr w:rsidR="00361600" w:rsidRPr="00940504" w14:paraId="72DB1036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2ED0E5C6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T</w:t>
            </w:r>
          </w:p>
        </w:tc>
        <w:tc>
          <w:tcPr>
            <w:tcW w:w="1134" w:type="dxa"/>
            <w:noWrap/>
            <w:vAlign w:val="bottom"/>
            <w:hideMark/>
          </w:tcPr>
          <w:p w14:paraId="1F0BA47D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TERRE</w:t>
            </w:r>
          </w:p>
        </w:tc>
        <w:tc>
          <w:tcPr>
            <w:tcW w:w="709" w:type="dxa"/>
            <w:noWrap/>
            <w:vAlign w:val="bottom"/>
            <w:hideMark/>
          </w:tcPr>
          <w:p w14:paraId="1CB214CC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V</w:t>
            </w:r>
          </w:p>
        </w:tc>
        <w:tc>
          <w:tcPr>
            <w:tcW w:w="709" w:type="dxa"/>
            <w:noWrap/>
            <w:vAlign w:val="bottom"/>
            <w:hideMark/>
          </w:tcPr>
          <w:p w14:paraId="76D4913A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Value</w:t>
            </w:r>
          </w:p>
        </w:tc>
        <w:tc>
          <w:tcPr>
            <w:tcW w:w="709" w:type="dxa"/>
            <w:noWrap/>
            <w:vAlign w:val="bottom"/>
            <w:hideMark/>
          </w:tcPr>
          <w:p w14:paraId="53D443F9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1</w:t>
            </w:r>
          </w:p>
        </w:tc>
        <w:tc>
          <w:tcPr>
            <w:tcW w:w="5570" w:type="dxa"/>
            <w:noWrap/>
            <w:vAlign w:val="bottom"/>
            <w:hideMark/>
          </w:tcPr>
          <w:p w14:paraId="11408280" w14:textId="41696A6E" w:rsidR="003929AA" w:rsidRPr="00940504" w:rsidRDefault="004E55E6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BE+ Czechia</w:t>
            </w:r>
          </w:p>
        </w:tc>
      </w:tr>
      <w:tr w:rsidR="00361600" w:rsidRPr="00940504" w14:paraId="2A54D4E5" w14:textId="77777777" w:rsidTr="00051F41">
        <w:trPr>
          <w:trHeight w:val="300"/>
        </w:trPr>
        <w:tc>
          <w:tcPr>
            <w:tcW w:w="524" w:type="dxa"/>
            <w:noWrap/>
            <w:vAlign w:val="bottom"/>
          </w:tcPr>
          <w:p w14:paraId="5909CBCC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67DC2567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393C786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P</w:t>
            </w:r>
          </w:p>
        </w:tc>
        <w:tc>
          <w:tcPr>
            <w:tcW w:w="709" w:type="dxa"/>
            <w:noWrap/>
            <w:vAlign w:val="bottom"/>
            <w:hideMark/>
          </w:tcPr>
          <w:p w14:paraId="575A10C2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Price</w:t>
            </w:r>
          </w:p>
        </w:tc>
        <w:tc>
          <w:tcPr>
            <w:tcW w:w="709" w:type="dxa"/>
            <w:noWrap/>
            <w:vAlign w:val="bottom"/>
            <w:hideMark/>
          </w:tcPr>
          <w:p w14:paraId="3541BB58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2</w:t>
            </w:r>
          </w:p>
        </w:tc>
        <w:tc>
          <w:tcPr>
            <w:tcW w:w="5570" w:type="dxa"/>
            <w:noWrap/>
            <w:vAlign w:val="bottom"/>
            <w:hideMark/>
          </w:tcPr>
          <w:p w14:paraId="35BCE2C8" w14:textId="6C37A68F" w:rsidR="003929AA" w:rsidRPr="00940504" w:rsidRDefault="004E55E6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BE-</w:t>
            </w:r>
            <w:r w:rsidRPr="004E55E6">
              <w:rPr>
                <w:rFonts w:ascii="Calibri" w:hAnsi="Calibri" w:cs="Calibri"/>
                <w:lang w:val="en-US" w:eastAsia="cs-CZ"/>
              </w:rPr>
              <w:t xml:space="preserve"> C</w:t>
            </w:r>
            <w:r>
              <w:rPr>
                <w:rFonts w:ascii="Calibri" w:hAnsi="Calibri" w:cs="Calibri"/>
                <w:lang w:val="en-US" w:eastAsia="cs-CZ"/>
              </w:rPr>
              <w:t>zechia</w:t>
            </w:r>
          </w:p>
        </w:tc>
      </w:tr>
      <w:tr w:rsidR="00361600" w:rsidRPr="00940504" w14:paraId="0089FA7C" w14:textId="77777777" w:rsidTr="00051F41">
        <w:trPr>
          <w:trHeight w:val="300"/>
        </w:trPr>
        <w:tc>
          <w:tcPr>
            <w:tcW w:w="524" w:type="dxa"/>
            <w:noWrap/>
            <w:vAlign w:val="bottom"/>
          </w:tcPr>
          <w:p w14:paraId="13781E8D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0238B409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45F6235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A477A26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325EE0D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3</w:t>
            </w:r>
          </w:p>
        </w:tc>
        <w:tc>
          <w:tcPr>
            <w:tcW w:w="5570" w:type="dxa"/>
            <w:noWrap/>
            <w:vAlign w:val="bottom"/>
            <w:hideMark/>
          </w:tcPr>
          <w:p w14:paraId="712A584A" w14:textId="57EAD9A1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>+ abroad</w:t>
            </w:r>
          </w:p>
        </w:tc>
      </w:tr>
      <w:tr w:rsidR="00361600" w:rsidRPr="00940504" w14:paraId="653529D0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485B143A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6923E337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0D09ABC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DCCEB65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96F7E5F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4</w:t>
            </w:r>
          </w:p>
        </w:tc>
        <w:tc>
          <w:tcPr>
            <w:tcW w:w="5570" w:type="dxa"/>
            <w:noWrap/>
            <w:vAlign w:val="bottom"/>
            <w:hideMark/>
          </w:tcPr>
          <w:p w14:paraId="054FE5F2" w14:textId="4612519E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>- abroad</w:t>
            </w:r>
          </w:p>
        </w:tc>
      </w:tr>
      <w:tr w:rsidR="00361600" w:rsidRPr="00940504" w14:paraId="56ED2F26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4391F38B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138F350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0DB1969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06A805A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0CAC0CE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5</w:t>
            </w:r>
          </w:p>
        </w:tc>
        <w:tc>
          <w:tcPr>
            <w:tcW w:w="5570" w:type="dxa"/>
            <w:noWrap/>
            <w:vAlign w:val="bottom"/>
            <w:hideMark/>
          </w:tcPr>
          <w:p w14:paraId="0D537CF3" w14:textId="7DD7D73D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+ without effect on </w:t>
            </w:r>
            <w:r>
              <w:rPr>
                <w:rFonts w:ascii="Calibri" w:hAnsi="Calibri" w:cs="Calibri"/>
                <w:lang w:val="en-US" w:eastAsia="cs-CZ"/>
              </w:rPr>
              <w:t>imbalance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 price (following </w:t>
            </w:r>
            <w:r w:rsidR="004E55E6" w:rsidRPr="00940504">
              <w:rPr>
                <w:rFonts w:ascii="Calibri" w:hAnsi="Calibri" w:cs="Calibri"/>
                <w:lang w:val="en-US" w:eastAsia="cs-CZ"/>
              </w:rPr>
              <w:t>¼h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) </w:t>
            </w:r>
          </w:p>
        </w:tc>
      </w:tr>
      <w:tr w:rsidR="00361600" w:rsidRPr="00940504" w14:paraId="112FCBB4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64369979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DAA9A8A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4F762F8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19C9ED6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08629F2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6</w:t>
            </w:r>
          </w:p>
        </w:tc>
        <w:tc>
          <w:tcPr>
            <w:tcW w:w="5570" w:type="dxa"/>
            <w:noWrap/>
            <w:vAlign w:val="bottom"/>
            <w:hideMark/>
          </w:tcPr>
          <w:p w14:paraId="7603F736" w14:textId="1204AF57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- no effect on </w:t>
            </w:r>
            <w:r w:rsidR="004E55E6">
              <w:rPr>
                <w:rFonts w:ascii="Calibri" w:hAnsi="Calibri" w:cs="Calibri"/>
                <w:lang w:val="en-US" w:eastAsia="cs-CZ"/>
              </w:rPr>
              <w:t>imbalance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 price (following ¼h)</w:t>
            </w:r>
          </w:p>
        </w:tc>
      </w:tr>
      <w:tr w:rsidR="00361600" w:rsidRPr="00940504" w14:paraId="425BC9AD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71A6803F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B92D225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A94A696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3C7BDD4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0CA5918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7</w:t>
            </w:r>
          </w:p>
        </w:tc>
        <w:tc>
          <w:tcPr>
            <w:tcW w:w="5570" w:type="dxa"/>
            <w:noWrap/>
            <w:vAlign w:val="bottom"/>
            <w:hideMark/>
          </w:tcPr>
          <w:p w14:paraId="6DC8907C" w14:textId="74EADF57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+ without effect on </w:t>
            </w:r>
            <w:r w:rsidR="004E55E6">
              <w:rPr>
                <w:rFonts w:ascii="Calibri" w:hAnsi="Calibri" w:cs="Calibri"/>
                <w:lang w:val="en-US" w:eastAsia="cs-CZ"/>
              </w:rPr>
              <w:t>imbalance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 price (p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>vious ¼h)</w:t>
            </w:r>
          </w:p>
        </w:tc>
      </w:tr>
      <w:tr w:rsidR="00361600" w:rsidRPr="00940504" w14:paraId="26407FE6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5654D520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0F812051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7C18848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6962F97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AAC69E1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8</w:t>
            </w:r>
          </w:p>
        </w:tc>
        <w:tc>
          <w:tcPr>
            <w:tcW w:w="5570" w:type="dxa"/>
            <w:noWrap/>
            <w:vAlign w:val="bottom"/>
            <w:hideMark/>
          </w:tcPr>
          <w:p w14:paraId="5366B527" w14:textId="62D58C09" w:rsidR="003929AA" w:rsidRPr="00940504" w:rsidRDefault="00FE7385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- no effect on </w:t>
            </w:r>
            <w:r w:rsidR="004E55E6">
              <w:rPr>
                <w:rFonts w:ascii="Calibri" w:hAnsi="Calibri" w:cs="Calibri"/>
                <w:lang w:val="en-US" w:eastAsia="cs-CZ"/>
              </w:rPr>
              <w:t>imbalance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 xml:space="preserve"> price (p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="00F4026C" w:rsidRPr="00940504">
              <w:rPr>
                <w:rFonts w:ascii="Calibri" w:hAnsi="Calibri" w:cs="Calibri"/>
                <w:lang w:val="en-US" w:eastAsia="cs-CZ"/>
              </w:rPr>
              <w:t>vious ¼h)</w:t>
            </w:r>
          </w:p>
        </w:tc>
      </w:tr>
      <w:tr w:rsidR="00361600" w:rsidRPr="00940504" w14:paraId="223F696C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13774F28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632478A3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934ED85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E88B4CC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D8CD9C3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9</w:t>
            </w:r>
          </w:p>
        </w:tc>
        <w:tc>
          <w:tcPr>
            <w:tcW w:w="5570" w:type="dxa"/>
            <w:noWrap/>
            <w:vAlign w:val="bottom"/>
            <w:hideMark/>
          </w:tcPr>
          <w:p w14:paraId="4F8AFE02" w14:textId="3982D0FF" w:rsidR="003929AA" w:rsidRPr="00940504" w:rsidRDefault="00361600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Failu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to provide </w:t>
            </w:r>
            <w:r w:rsidR="00FE7385"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+ of the 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qui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d quality</w:t>
            </w:r>
          </w:p>
        </w:tc>
      </w:tr>
      <w:tr w:rsidR="00361600" w:rsidRPr="00940504" w14:paraId="73362CC4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75BC0DC7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697850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B3979FE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709D272" w14:textId="77777777" w:rsidR="00361600" w:rsidRPr="00940504" w:rsidRDefault="00361600" w:rsidP="006B425F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EDB6310" w14:textId="77777777" w:rsidR="003929AA" w:rsidRPr="00940504" w:rsidRDefault="00F4026C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0</w:t>
            </w:r>
          </w:p>
        </w:tc>
        <w:tc>
          <w:tcPr>
            <w:tcW w:w="5570" w:type="dxa"/>
            <w:noWrap/>
            <w:vAlign w:val="bottom"/>
            <w:hideMark/>
          </w:tcPr>
          <w:p w14:paraId="51743C32" w14:textId="7F2CCCC3" w:rsidR="003929AA" w:rsidRPr="00940504" w:rsidRDefault="00361600">
            <w:pPr>
              <w:spacing w:after="0" w:line="240" w:lineRule="auto"/>
              <w:jc w:val="both"/>
              <w:rPr>
                <w:rFonts w:ascii="Calibri" w:hAnsi="Calibri" w:cs="Calibri"/>
                <w:lang w:val="en-US" w:eastAsia="cs-CZ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Failu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to provide </w:t>
            </w:r>
            <w:r w:rsidR="00FE7385"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of the 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qui</w:t>
            </w:r>
            <w:r w:rsidR="004E55E6"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d quality</w:t>
            </w:r>
          </w:p>
        </w:tc>
      </w:tr>
    </w:tbl>
    <w:p w14:paraId="00605CE9" w14:textId="77777777" w:rsidR="00605A6E" w:rsidRPr="00940504" w:rsidRDefault="00605A6E" w:rsidP="006B425F">
      <w:pPr>
        <w:jc w:val="both"/>
        <w:rPr>
          <w:lang w:val="en-US"/>
        </w:rPr>
      </w:pPr>
    </w:p>
    <w:p w14:paraId="0BD8F3F2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>An inventory of all TERRE profiles in use:</w:t>
      </w:r>
    </w:p>
    <w:p w14:paraId="1D133F38" w14:textId="303FCA07" w:rsidR="00605A6E" w:rsidRPr="00940504" w:rsidRDefault="000F32FB" w:rsidP="006B425F">
      <w:pPr>
        <w:jc w:val="both"/>
        <w:rPr>
          <w:lang w:val="en-US"/>
        </w:rPr>
      </w:pPr>
      <w:r>
        <w:rPr>
          <w:lang w:val="en-US"/>
        </w:rPr>
        <w:object w:dxaOrig="1532" w:dyaOrig="991" w14:anchorId="5A55A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6.5pt;height:49.5pt" o:ole="">
            <v:imagedata r:id="rId8" o:title=""/>
          </v:shape>
          <o:OLEObject Type="Embed" ProgID="Excel.Sheet.12" ShapeID="_x0000_i1057" DrawAspect="Icon" ObjectID="_1786281915" r:id="rId9"/>
        </w:object>
      </w:r>
      <w:r>
        <w:rPr>
          <w:lang w:val="en-US"/>
        </w:rPr>
        <w:object w:dxaOrig="1532" w:dyaOrig="991" w14:anchorId="129AFFE5">
          <v:shape id="_x0000_i1055" type="#_x0000_t75" style="width:76.5pt;height:49.5pt" o:ole="">
            <v:imagedata r:id="rId10" o:title=""/>
          </v:shape>
          <o:OLEObject Type="Embed" ProgID="Package" ShapeID="_x0000_i1055" DrawAspect="Icon" ObjectID="_1786281916" r:id="rId11"/>
        </w:object>
      </w:r>
    </w:p>
    <w:p w14:paraId="066D00F5" w14:textId="77777777" w:rsidR="0011764E" w:rsidRPr="00940504" w:rsidRDefault="0011764E" w:rsidP="006B425F">
      <w:pPr>
        <w:jc w:val="both"/>
        <w:rPr>
          <w:lang w:val="en-US"/>
        </w:rPr>
      </w:pPr>
      <w:r w:rsidRPr="00940504">
        <w:rPr>
          <w:lang w:val="en-US"/>
        </w:rPr>
        <w:br w:type="page"/>
      </w:r>
    </w:p>
    <w:p w14:paraId="1ECA7562" w14:textId="77777777" w:rsidR="00655448" w:rsidRPr="00940504" w:rsidRDefault="00655448" w:rsidP="006B425F">
      <w:pPr>
        <w:jc w:val="both"/>
        <w:rPr>
          <w:lang w:val="en-US"/>
        </w:rPr>
      </w:pPr>
    </w:p>
    <w:p w14:paraId="5805FF8A" w14:textId="6F2B625E" w:rsidR="003929AA" w:rsidRPr="00940504" w:rsidRDefault="00F4026C">
      <w:pPr>
        <w:pStyle w:val="Nadpis3"/>
        <w:numPr>
          <w:ilvl w:val="1"/>
          <w:numId w:val="5"/>
        </w:numPr>
        <w:jc w:val="both"/>
        <w:rPr>
          <w:b/>
          <w:bCs/>
          <w:lang w:val="en-US"/>
        </w:rPr>
      </w:pPr>
      <w:r w:rsidRPr="00940504">
        <w:rPr>
          <w:b/>
          <w:bCs/>
          <w:lang w:val="en-US"/>
        </w:rPr>
        <w:t>MARI</w:t>
      </w:r>
      <w:r w:rsidR="004332E2">
        <w:rPr>
          <w:b/>
          <w:bCs/>
          <w:lang w:val="en-US"/>
        </w:rPr>
        <w:t xml:space="preserve"> (mFRR)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134"/>
        <w:gridCol w:w="567"/>
        <w:gridCol w:w="709"/>
        <w:gridCol w:w="709"/>
        <w:gridCol w:w="5239"/>
      </w:tblGrid>
      <w:tr w:rsidR="00060426" w:rsidRPr="00940504" w14:paraId="7BF520AF" w14:textId="77777777" w:rsidTr="00051F41">
        <w:trPr>
          <w:trHeight w:val="300"/>
          <w:jc w:val="center"/>
        </w:trPr>
        <w:tc>
          <w:tcPr>
            <w:tcW w:w="583" w:type="dxa"/>
            <w:shd w:val="clear" w:color="auto" w:fill="BFBFBF"/>
            <w:noWrap/>
            <w:vAlign w:val="bottom"/>
            <w:hideMark/>
          </w:tcPr>
          <w:p w14:paraId="79292589" w14:textId="3D76C792" w:rsidR="003929AA" w:rsidRPr="00940504" w:rsidRDefault="00F4026C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1</w:t>
            </w:r>
            <w:r w:rsidR="000F32FB">
              <w:rPr>
                <w:rFonts w:cs="Aptos"/>
                <w:color w:val="000000"/>
                <w:lang w:val="en-US"/>
              </w:rPr>
              <w:t>st</w:t>
            </w:r>
            <w:r w:rsidRPr="00940504">
              <w:rPr>
                <w:rFonts w:cs="Aptos"/>
                <w:color w:val="000000"/>
                <w:lang w:val="en-US"/>
              </w:rPr>
              <w:t xml:space="preserve"> </w:t>
            </w:r>
            <w:r w:rsidR="000F32FB">
              <w:rPr>
                <w:rFonts w:cs="Aptos"/>
                <w:color w:val="000000"/>
                <w:lang w:val="en-US"/>
              </w:rPr>
              <w:t>char</w:t>
            </w:r>
          </w:p>
        </w:tc>
        <w:tc>
          <w:tcPr>
            <w:tcW w:w="1134" w:type="dxa"/>
            <w:shd w:val="clear" w:color="auto" w:fill="BFBFBF"/>
          </w:tcPr>
          <w:p w14:paraId="3A91FD8B" w14:textId="77777777" w:rsidR="003929AA" w:rsidRPr="00940504" w:rsidRDefault="00F4026C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Platform / activation</w:t>
            </w:r>
          </w:p>
        </w:tc>
        <w:tc>
          <w:tcPr>
            <w:tcW w:w="567" w:type="dxa"/>
            <w:shd w:val="clear" w:color="auto" w:fill="BFBFBF"/>
            <w:noWrap/>
            <w:vAlign w:val="bottom"/>
            <w:hideMark/>
          </w:tcPr>
          <w:p w14:paraId="0DB8923E" w14:textId="3E119879" w:rsidR="003929AA" w:rsidRPr="00940504" w:rsidRDefault="00F4026C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2nd char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7CCF18B4" w14:textId="77777777" w:rsidR="003929AA" w:rsidRPr="00940504" w:rsidRDefault="00F4026C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Type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2FF3BCD5" w14:textId="59055ABC" w:rsidR="003929AA" w:rsidRPr="00940504" w:rsidRDefault="00060426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3rd char</w:t>
            </w:r>
            <w:r w:rsidRPr="00940504">
              <w:rPr>
                <w:rStyle w:val="Znakapoznpodarou"/>
                <w:rFonts w:ascii="Calibri" w:hAnsi="Calibri" w:cs="Calibri"/>
                <w:color w:val="000000"/>
                <w:lang w:val="en-US" w:eastAsia="cs-CZ"/>
              </w:rPr>
              <w:footnoteReference w:id="2"/>
            </w:r>
          </w:p>
        </w:tc>
        <w:tc>
          <w:tcPr>
            <w:tcW w:w="5239" w:type="dxa"/>
            <w:shd w:val="clear" w:color="auto" w:fill="BFBFBF"/>
            <w:noWrap/>
            <w:vAlign w:val="bottom"/>
            <w:hideMark/>
          </w:tcPr>
          <w:p w14:paraId="34A01291" w14:textId="77777777" w:rsidR="003929AA" w:rsidRPr="00940504" w:rsidRDefault="00F4026C" w:rsidP="000F32FB">
            <w:pPr>
              <w:spacing w:after="85" w:line="227" w:lineRule="atLeast"/>
              <w:jc w:val="center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Purpose/territory of addressing the imbalance</w:t>
            </w:r>
          </w:p>
        </w:tc>
      </w:tr>
      <w:tr w:rsidR="000F32FB" w:rsidRPr="00940504" w14:paraId="4D824E35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05F3DBE1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S</w:t>
            </w:r>
          </w:p>
        </w:tc>
        <w:tc>
          <w:tcPr>
            <w:tcW w:w="1134" w:type="dxa"/>
          </w:tcPr>
          <w:p w14:paraId="7746F56A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Scheduled activation</w:t>
            </w:r>
          </w:p>
        </w:tc>
        <w:tc>
          <w:tcPr>
            <w:tcW w:w="567" w:type="dxa"/>
            <w:noWrap/>
            <w:vAlign w:val="bottom"/>
            <w:hideMark/>
          </w:tcPr>
          <w:p w14:paraId="7841E9ED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V</w:t>
            </w:r>
          </w:p>
        </w:tc>
        <w:tc>
          <w:tcPr>
            <w:tcW w:w="709" w:type="dxa"/>
            <w:noWrap/>
            <w:vAlign w:val="bottom"/>
            <w:hideMark/>
          </w:tcPr>
          <w:p w14:paraId="13B8243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Value</w:t>
            </w:r>
          </w:p>
        </w:tc>
        <w:tc>
          <w:tcPr>
            <w:tcW w:w="709" w:type="dxa"/>
            <w:noWrap/>
            <w:vAlign w:val="bottom"/>
            <w:hideMark/>
          </w:tcPr>
          <w:p w14:paraId="1A51C984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1</w:t>
            </w:r>
          </w:p>
        </w:tc>
        <w:tc>
          <w:tcPr>
            <w:tcW w:w="5239" w:type="dxa"/>
            <w:noWrap/>
            <w:vAlign w:val="bottom"/>
            <w:hideMark/>
          </w:tcPr>
          <w:p w14:paraId="4EAC92A3" w14:textId="2A87753E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BE+ Czechia</w:t>
            </w:r>
          </w:p>
        </w:tc>
      </w:tr>
      <w:tr w:rsidR="000F32FB" w:rsidRPr="00940504" w14:paraId="0D507A7B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</w:tcPr>
          <w:p w14:paraId="1AFF1CAD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D</w:t>
            </w:r>
          </w:p>
        </w:tc>
        <w:tc>
          <w:tcPr>
            <w:tcW w:w="1134" w:type="dxa"/>
          </w:tcPr>
          <w:p w14:paraId="47FBCF0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Direct Activation</w:t>
            </w:r>
          </w:p>
        </w:tc>
        <w:tc>
          <w:tcPr>
            <w:tcW w:w="567" w:type="dxa"/>
            <w:noWrap/>
            <w:vAlign w:val="bottom"/>
            <w:hideMark/>
          </w:tcPr>
          <w:p w14:paraId="2241D92C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</w:t>
            </w:r>
          </w:p>
        </w:tc>
        <w:tc>
          <w:tcPr>
            <w:tcW w:w="709" w:type="dxa"/>
            <w:noWrap/>
            <w:vAlign w:val="bottom"/>
            <w:hideMark/>
          </w:tcPr>
          <w:p w14:paraId="5335251B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Price</w:t>
            </w:r>
          </w:p>
        </w:tc>
        <w:tc>
          <w:tcPr>
            <w:tcW w:w="709" w:type="dxa"/>
            <w:noWrap/>
            <w:vAlign w:val="bottom"/>
            <w:hideMark/>
          </w:tcPr>
          <w:p w14:paraId="38DD5886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2</w:t>
            </w:r>
          </w:p>
        </w:tc>
        <w:tc>
          <w:tcPr>
            <w:tcW w:w="5239" w:type="dxa"/>
            <w:noWrap/>
            <w:vAlign w:val="bottom"/>
            <w:hideMark/>
          </w:tcPr>
          <w:p w14:paraId="1E99CCBF" w14:textId="679F277A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BE-</w:t>
            </w:r>
            <w:r w:rsidRPr="004E55E6">
              <w:rPr>
                <w:rFonts w:ascii="Calibri" w:hAnsi="Calibri" w:cs="Calibri"/>
                <w:lang w:val="en-US" w:eastAsia="cs-CZ"/>
              </w:rPr>
              <w:t xml:space="preserve"> C</w:t>
            </w:r>
            <w:r>
              <w:rPr>
                <w:rFonts w:ascii="Calibri" w:hAnsi="Calibri" w:cs="Calibri"/>
                <w:lang w:val="en-US" w:eastAsia="cs-CZ"/>
              </w:rPr>
              <w:t>zechia</w:t>
            </w:r>
          </w:p>
        </w:tc>
      </w:tr>
      <w:tr w:rsidR="000F32FB" w:rsidRPr="00940504" w14:paraId="0D097BD2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</w:tcPr>
          <w:p w14:paraId="637771E9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1134" w:type="dxa"/>
          </w:tcPr>
          <w:p w14:paraId="7859DE71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AB79D59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11C2264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F6045F9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3</w:t>
            </w:r>
          </w:p>
        </w:tc>
        <w:tc>
          <w:tcPr>
            <w:tcW w:w="5239" w:type="dxa"/>
            <w:noWrap/>
            <w:vAlign w:val="bottom"/>
            <w:hideMark/>
          </w:tcPr>
          <w:p w14:paraId="7B692DA8" w14:textId="0F1CAB49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>+ abroad</w:t>
            </w:r>
          </w:p>
        </w:tc>
      </w:tr>
      <w:tr w:rsidR="000F32FB" w:rsidRPr="00940504" w14:paraId="54A1D004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3FDFEF72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0CF1BF2F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1402E97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648196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702F68F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4</w:t>
            </w:r>
          </w:p>
        </w:tc>
        <w:tc>
          <w:tcPr>
            <w:tcW w:w="5239" w:type="dxa"/>
            <w:noWrap/>
            <w:vAlign w:val="bottom"/>
            <w:hideMark/>
          </w:tcPr>
          <w:p w14:paraId="67B98EA2" w14:textId="134930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>- abroad</w:t>
            </w:r>
          </w:p>
        </w:tc>
      </w:tr>
      <w:tr w:rsidR="000F32FB" w:rsidRPr="00940504" w14:paraId="7EC718EE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5EB60A42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08B479E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0EB4F998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FD806EC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D8E693F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5</w:t>
            </w:r>
          </w:p>
        </w:tc>
        <w:tc>
          <w:tcPr>
            <w:tcW w:w="5239" w:type="dxa"/>
            <w:noWrap/>
            <w:vAlign w:val="bottom"/>
            <w:hideMark/>
          </w:tcPr>
          <w:p w14:paraId="4B6863BD" w14:textId="7B477E8F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+ without effect on </w:t>
            </w:r>
            <w:r>
              <w:rPr>
                <w:rFonts w:ascii="Calibri" w:hAnsi="Calibri" w:cs="Calibri"/>
                <w:lang w:val="en-US" w:eastAsia="cs-CZ"/>
              </w:rPr>
              <w:t>imbalance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price (following ¼h) </w:t>
            </w:r>
          </w:p>
        </w:tc>
      </w:tr>
      <w:tr w:rsidR="000F32FB" w:rsidRPr="00940504" w14:paraId="64FE9BA7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37146968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251C99DE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547A061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7E09510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DC348E6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6</w:t>
            </w:r>
          </w:p>
        </w:tc>
        <w:tc>
          <w:tcPr>
            <w:tcW w:w="5239" w:type="dxa"/>
            <w:noWrap/>
            <w:vAlign w:val="bottom"/>
            <w:hideMark/>
          </w:tcPr>
          <w:p w14:paraId="07D08157" w14:textId="27E28FFC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- no effect on </w:t>
            </w:r>
            <w:r>
              <w:rPr>
                <w:rFonts w:ascii="Calibri" w:hAnsi="Calibri" w:cs="Calibri"/>
                <w:lang w:val="en-US" w:eastAsia="cs-CZ"/>
              </w:rPr>
              <w:t>imbalance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price (following ¼h)</w:t>
            </w:r>
          </w:p>
        </w:tc>
      </w:tr>
      <w:tr w:rsidR="000F32FB" w:rsidRPr="00940504" w14:paraId="44287B84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16A64696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03EEB812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78183A44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4803797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5E1837B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7</w:t>
            </w:r>
          </w:p>
        </w:tc>
        <w:tc>
          <w:tcPr>
            <w:tcW w:w="5239" w:type="dxa"/>
            <w:noWrap/>
            <w:vAlign w:val="bottom"/>
            <w:hideMark/>
          </w:tcPr>
          <w:p w14:paraId="477DE78A" w14:textId="449E2A83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+ without effect on </w:t>
            </w:r>
            <w:r>
              <w:rPr>
                <w:rFonts w:ascii="Calibri" w:hAnsi="Calibri" w:cs="Calibri"/>
                <w:lang w:val="en-US" w:eastAsia="cs-CZ"/>
              </w:rPr>
              <w:t>imbalance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price (p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vious ¼h)</w:t>
            </w:r>
          </w:p>
        </w:tc>
      </w:tr>
      <w:tr w:rsidR="000F32FB" w:rsidRPr="00940504" w14:paraId="3DD01479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60173D62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769ACEE9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C00B99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2DC4333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70ACC9A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8</w:t>
            </w:r>
          </w:p>
        </w:tc>
        <w:tc>
          <w:tcPr>
            <w:tcW w:w="5239" w:type="dxa"/>
            <w:noWrap/>
            <w:vAlign w:val="bottom"/>
            <w:hideMark/>
          </w:tcPr>
          <w:p w14:paraId="0457F7F5" w14:textId="40747821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- no effect on </w:t>
            </w:r>
            <w:r>
              <w:rPr>
                <w:rFonts w:ascii="Calibri" w:hAnsi="Calibri" w:cs="Calibri"/>
                <w:lang w:val="en-US" w:eastAsia="cs-CZ"/>
              </w:rPr>
              <w:t>imbalance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price (p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vious ¼h)</w:t>
            </w:r>
          </w:p>
        </w:tc>
      </w:tr>
      <w:tr w:rsidR="000F32FB" w:rsidRPr="00940504" w14:paraId="166F8EB1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72AE2EB6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1F42E44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43BF11F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A9E2C18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10E7BE5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9</w:t>
            </w:r>
          </w:p>
        </w:tc>
        <w:tc>
          <w:tcPr>
            <w:tcW w:w="5239" w:type="dxa"/>
            <w:noWrap/>
            <w:vAlign w:val="bottom"/>
            <w:hideMark/>
          </w:tcPr>
          <w:p w14:paraId="33B3DE9A" w14:textId="33B8D13C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Failu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to provide </w:t>
            </w: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+ of the 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qui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d quality</w:t>
            </w:r>
          </w:p>
        </w:tc>
      </w:tr>
      <w:tr w:rsidR="000F32FB" w:rsidRPr="00940504" w14:paraId="45086520" w14:textId="77777777" w:rsidTr="00051F41">
        <w:trPr>
          <w:trHeight w:val="300"/>
          <w:jc w:val="center"/>
        </w:trPr>
        <w:tc>
          <w:tcPr>
            <w:tcW w:w="583" w:type="dxa"/>
            <w:noWrap/>
            <w:vAlign w:val="bottom"/>
            <w:hideMark/>
          </w:tcPr>
          <w:p w14:paraId="50C1E07C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1134" w:type="dxa"/>
          </w:tcPr>
          <w:p w14:paraId="38CDDA20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C35D8BD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8C89FB4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3A39C73" w14:textId="77777777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0</w:t>
            </w:r>
          </w:p>
        </w:tc>
        <w:tc>
          <w:tcPr>
            <w:tcW w:w="5239" w:type="dxa"/>
            <w:noWrap/>
            <w:vAlign w:val="bottom"/>
            <w:hideMark/>
          </w:tcPr>
          <w:p w14:paraId="46B5BC5F" w14:textId="2E646782" w:rsidR="000F32FB" w:rsidRPr="00940504" w:rsidRDefault="000F32FB" w:rsidP="000F32FB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ascii="Calibri" w:hAnsi="Calibri" w:cs="Calibri"/>
                <w:lang w:val="en-US" w:eastAsia="cs-CZ"/>
              </w:rPr>
              <w:t>Failu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to provide </w:t>
            </w:r>
            <w:r>
              <w:rPr>
                <w:rFonts w:ascii="Calibri" w:hAnsi="Calibri" w:cs="Calibri"/>
                <w:lang w:val="en-US" w:eastAsia="cs-CZ"/>
              </w:rPr>
              <w:t>BE</w:t>
            </w:r>
            <w:r w:rsidRPr="00940504">
              <w:rPr>
                <w:rFonts w:ascii="Calibri" w:hAnsi="Calibri" w:cs="Calibri"/>
                <w:lang w:val="en-US" w:eastAsia="cs-CZ"/>
              </w:rPr>
              <w:t xml:space="preserve"> of the 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qui</w:t>
            </w:r>
            <w:r>
              <w:rPr>
                <w:rFonts w:ascii="Calibri" w:hAnsi="Calibri" w:cs="Calibri"/>
                <w:lang w:val="en-US" w:eastAsia="cs-CZ"/>
              </w:rPr>
              <w:t>re</w:t>
            </w:r>
            <w:r w:rsidRPr="00940504">
              <w:rPr>
                <w:rFonts w:ascii="Calibri" w:hAnsi="Calibri" w:cs="Calibri"/>
                <w:lang w:val="en-US" w:eastAsia="cs-CZ"/>
              </w:rPr>
              <w:t>d quality</w:t>
            </w:r>
          </w:p>
        </w:tc>
      </w:tr>
    </w:tbl>
    <w:p w14:paraId="6E1C4394" w14:textId="77777777" w:rsidR="00605A6E" w:rsidRPr="00940504" w:rsidRDefault="00605A6E" w:rsidP="006B425F">
      <w:pPr>
        <w:jc w:val="both"/>
        <w:rPr>
          <w:lang w:val="en-US"/>
        </w:rPr>
      </w:pPr>
    </w:p>
    <w:p w14:paraId="4D59857E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>Inventory of all MARI profiles in use:</w:t>
      </w:r>
    </w:p>
    <w:p w14:paraId="7E630F02" w14:textId="0B64F745" w:rsidR="0011764E" w:rsidRPr="00940504" w:rsidRDefault="004332E2" w:rsidP="006B425F">
      <w:pPr>
        <w:jc w:val="both"/>
        <w:rPr>
          <w:lang w:val="en-US"/>
        </w:rPr>
      </w:pPr>
      <w:r>
        <w:rPr>
          <w:lang w:val="en-US"/>
        </w:rPr>
        <w:object w:dxaOrig="1532" w:dyaOrig="991" w14:anchorId="7B880129">
          <v:shape id="_x0000_i1063" type="#_x0000_t75" style="width:76.5pt;height:49.5pt" o:ole="">
            <v:imagedata r:id="rId12" o:title=""/>
          </v:shape>
          <o:OLEObject Type="Embed" ProgID="Excel.Sheet.12" ShapeID="_x0000_i1063" DrawAspect="Icon" ObjectID="_1786281917" r:id="rId13"/>
        </w:object>
      </w:r>
      <w:r>
        <w:rPr>
          <w:lang w:val="en-US"/>
        </w:rPr>
        <w:object w:dxaOrig="1532" w:dyaOrig="991" w14:anchorId="3B6EBF06">
          <v:shape id="_x0000_i1067" type="#_x0000_t75" style="width:76.5pt;height:49.5pt" o:ole="">
            <v:imagedata r:id="rId14" o:title=""/>
          </v:shape>
          <o:OLEObject Type="Embed" ProgID="Package" ShapeID="_x0000_i1067" DrawAspect="Icon" ObjectID="_1786281918" r:id="rId15"/>
        </w:object>
      </w:r>
    </w:p>
    <w:p w14:paraId="3943B092" w14:textId="77777777" w:rsidR="0011764E" w:rsidRPr="00940504" w:rsidRDefault="0011764E" w:rsidP="006B425F">
      <w:pPr>
        <w:jc w:val="both"/>
        <w:rPr>
          <w:lang w:val="en-US"/>
        </w:rPr>
      </w:pPr>
      <w:r w:rsidRPr="00940504">
        <w:rPr>
          <w:lang w:val="en-US"/>
        </w:rPr>
        <w:br w:type="page"/>
      </w:r>
    </w:p>
    <w:p w14:paraId="74D999CB" w14:textId="77777777" w:rsidR="005F0E59" w:rsidRPr="00940504" w:rsidRDefault="005F0E59" w:rsidP="006B425F">
      <w:pPr>
        <w:jc w:val="both"/>
        <w:rPr>
          <w:b/>
          <w:bCs/>
          <w:lang w:val="en-US"/>
        </w:rPr>
      </w:pPr>
    </w:p>
    <w:p w14:paraId="5AEDE8E5" w14:textId="1F62CDE7" w:rsidR="003929AA" w:rsidRPr="00940504" w:rsidRDefault="00F4026C">
      <w:pPr>
        <w:pStyle w:val="Nadpis3"/>
        <w:numPr>
          <w:ilvl w:val="1"/>
          <w:numId w:val="5"/>
        </w:numPr>
        <w:jc w:val="both"/>
        <w:rPr>
          <w:b/>
          <w:bCs/>
          <w:lang w:val="en-US"/>
        </w:rPr>
      </w:pPr>
      <w:r w:rsidRPr="00940504">
        <w:rPr>
          <w:b/>
          <w:bCs/>
          <w:lang w:val="en-US"/>
        </w:rPr>
        <w:t>PICASSO</w:t>
      </w:r>
      <w:r w:rsidR="004332E2">
        <w:rPr>
          <w:b/>
          <w:bCs/>
          <w:lang w:val="en-US"/>
        </w:rPr>
        <w:t xml:space="preserve"> (aFRR)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567"/>
        <w:gridCol w:w="709"/>
        <w:gridCol w:w="709"/>
        <w:gridCol w:w="5674"/>
      </w:tblGrid>
      <w:tr w:rsidR="00051F41" w:rsidRPr="00940504" w14:paraId="67916CD9" w14:textId="77777777" w:rsidTr="000F32FB">
        <w:trPr>
          <w:trHeight w:val="300"/>
          <w:jc w:val="center"/>
        </w:trPr>
        <w:tc>
          <w:tcPr>
            <w:tcW w:w="704" w:type="dxa"/>
            <w:shd w:val="clear" w:color="auto" w:fill="BFBFBF"/>
            <w:noWrap/>
            <w:vAlign w:val="bottom"/>
            <w:hideMark/>
          </w:tcPr>
          <w:p w14:paraId="740C859C" w14:textId="2C808EA2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1</w:t>
            </w:r>
            <w:r w:rsidR="000F32FB">
              <w:rPr>
                <w:rFonts w:cs="Aptos"/>
                <w:color w:val="000000"/>
                <w:lang w:val="en-US"/>
              </w:rPr>
              <w:t>st char</w:t>
            </w:r>
          </w:p>
        </w:tc>
        <w:tc>
          <w:tcPr>
            <w:tcW w:w="992" w:type="dxa"/>
            <w:shd w:val="clear" w:color="auto" w:fill="BFBFBF"/>
          </w:tcPr>
          <w:p w14:paraId="1F6EAB82" w14:textId="6C76440E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Platform</w:t>
            </w:r>
          </w:p>
        </w:tc>
        <w:tc>
          <w:tcPr>
            <w:tcW w:w="567" w:type="dxa"/>
            <w:shd w:val="clear" w:color="auto" w:fill="BFBFBF"/>
            <w:noWrap/>
            <w:vAlign w:val="bottom"/>
            <w:hideMark/>
          </w:tcPr>
          <w:p w14:paraId="73B65B30" w14:textId="2837A975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2nd char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35D52CC9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Type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4E23E7AC" w14:textId="4091F822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3rd char</w:t>
            </w:r>
            <w:r w:rsidRPr="00940504">
              <w:rPr>
                <w:rStyle w:val="Znakapoznpodarou"/>
                <w:rFonts w:ascii="Calibri" w:hAnsi="Calibri" w:cs="Calibri"/>
                <w:color w:val="000000"/>
                <w:lang w:val="en-US" w:eastAsia="cs-CZ"/>
              </w:rPr>
              <w:footnoteReference w:id="3"/>
            </w:r>
          </w:p>
        </w:tc>
        <w:tc>
          <w:tcPr>
            <w:tcW w:w="5674" w:type="dxa"/>
            <w:shd w:val="clear" w:color="auto" w:fill="BFBFBF"/>
            <w:noWrap/>
            <w:vAlign w:val="bottom"/>
            <w:hideMark/>
          </w:tcPr>
          <w:p w14:paraId="527B845B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color w:val="000000"/>
                <w:lang w:val="en-US"/>
              </w:rPr>
            </w:pPr>
            <w:r w:rsidRPr="00940504">
              <w:rPr>
                <w:rFonts w:cs="Aptos"/>
                <w:color w:val="000000"/>
                <w:lang w:val="en-US"/>
              </w:rPr>
              <w:t>Purpose/territory of addressing the imbalance</w:t>
            </w:r>
          </w:p>
        </w:tc>
      </w:tr>
      <w:tr w:rsidR="00051F41" w:rsidRPr="00940504" w14:paraId="35055093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5109C036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</w:t>
            </w:r>
          </w:p>
        </w:tc>
        <w:tc>
          <w:tcPr>
            <w:tcW w:w="992" w:type="dxa"/>
          </w:tcPr>
          <w:p w14:paraId="7E1FA95C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PICASSO</w:t>
            </w:r>
          </w:p>
        </w:tc>
        <w:tc>
          <w:tcPr>
            <w:tcW w:w="567" w:type="dxa"/>
            <w:noWrap/>
            <w:vAlign w:val="bottom"/>
            <w:hideMark/>
          </w:tcPr>
          <w:p w14:paraId="1FB13525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V</w:t>
            </w:r>
          </w:p>
        </w:tc>
        <w:tc>
          <w:tcPr>
            <w:tcW w:w="709" w:type="dxa"/>
            <w:noWrap/>
            <w:vAlign w:val="bottom"/>
            <w:hideMark/>
          </w:tcPr>
          <w:p w14:paraId="6C5096B1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Value</w:t>
            </w:r>
          </w:p>
        </w:tc>
        <w:tc>
          <w:tcPr>
            <w:tcW w:w="709" w:type="dxa"/>
            <w:noWrap/>
            <w:vAlign w:val="bottom"/>
            <w:hideMark/>
          </w:tcPr>
          <w:p w14:paraId="6AB204BA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 w:rsidRPr="00940504">
              <w:rPr>
                <w:rFonts w:cs="Aptos"/>
                <w:b/>
                <w:lang w:val="en-US"/>
              </w:rPr>
              <w:t>1</w:t>
            </w:r>
          </w:p>
        </w:tc>
        <w:tc>
          <w:tcPr>
            <w:tcW w:w="5674" w:type="dxa"/>
            <w:noWrap/>
            <w:vAlign w:val="bottom"/>
            <w:hideMark/>
          </w:tcPr>
          <w:p w14:paraId="4A6C3A4C" w14:textId="24D6F45C" w:rsidR="003929AA" w:rsidRPr="00940504" w:rsidRDefault="004332E2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>
              <w:rPr>
                <w:rFonts w:cs="Aptos"/>
                <w:b/>
                <w:lang w:val="en-US"/>
              </w:rPr>
              <w:t>B</w:t>
            </w:r>
            <w:r w:rsidR="00F4026C" w:rsidRPr="00940504">
              <w:rPr>
                <w:rFonts w:cs="Aptos"/>
                <w:b/>
                <w:lang w:val="en-US"/>
              </w:rPr>
              <w:t xml:space="preserve">E+ (no distinction whether </w:t>
            </w:r>
            <w:r>
              <w:rPr>
                <w:rFonts w:cs="Aptos"/>
                <w:b/>
                <w:lang w:val="en-US"/>
              </w:rPr>
              <w:t>B</w:t>
            </w:r>
            <w:r w:rsidR="00F4026C" w:rsidRPr="00940504">
              <w:rPr>
                <w:rFonts w:cs="Aptos"/>
                <w:b/>
                <w:lang w:val="en-US"/>
              </w:rPr>
              <w:t>E is for the Czech Republic or abroad)</w:t>
            </w:r>
          </w:p>
        </w:tc>
      </w:tr>
      <w:tr w:rsidR="00051F41" w:rsidRPr="00940504" w14:paraId="614F50AF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27F0DE83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992" w:type="dxa"/>
          </w:tcPr>
          <w:p w14:paraId="5E950986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169B53E4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</w:t>
            </w:r>
          </w:p>
        </w:tc>
        <w:tc>
          <w:tcPr>
            <w:tcW w:w="709" w:type="dxa"/>
            <w:noWrap/>
            <w:vAlign w:val="bottom"/>
            <w:hideMark/>
          </w:tcPr>
          <w:p w14:paraId="5FEE0F1E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Price</w:t>
            </w:r>
          </w:p>
        </w:tc>
        <w:tc>
          <w:tcPr>
            <w:tcW w:w="709" w:type="dxa"/>
            <w:noWrap/>
            <w:vAlign w:val="bottom"/>
            <w:hideMark/>
          </w:tcPr>
          <w:p w14:paraId="4AC6E211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 w:rsidRPr="00940504">
              <w:rPr>
                <w:rFonts w:cs="Aptos"/>
                <w:b/>
                <w:lang w:val="en-US"/>
              </w:rPr>
              <w:t>2</w:t>
            </w:r>
          </w:p>
        </w:tc>
        <w:tc>
          <w:tcPr>
            <w:tcW w:w="5674" w:type="dxa"/>
            <w:noWrap/>
            <w:vAlign w:val="bottom"/>
            <w:hideMark/>
          </w:tcPr>
          <w:p w14:paraId="4ADB7CCB" w14:textId="0FA3CC43" w:rsidR="003929AA" w:rsidRPr="00940504" w:rsidRDefault="004332E2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>
              <w:rPr>
                <w:rFonts w:cs="Aptos"/>
                <w:b/>
                <w:lang w:val="en-US"/>
              </w:rPr>
              <w:t>B</w:t>
            </w:r>
            <w:r w:rsidR="00F4026C" w:rsidRPr="00940504">
              <w:rPr>
                <w:rFonts w:cs="Aptos"/>
                <w:b/>
                <w:lang w:val="en-US"/>
              </w:rPr>
              <w:t xml:space="preserve">E- (no distinction whether </w:t>
            </w:r>
            <w:r>
              <w:rPr>
                <w:rFonts w:cs="Aptos"/>
                <w:b/>
                <w:lang w:val="en-US"/>
              </w:rPr>
              <w:t>B</w:t>
            </w:r>
            <w:r w:rsidR="00F4026C" w:rsidRPr="00940504">
              <w:rPr>
                <w:rFonts w:cs="Aptos"/>
                <w:b/>
                <w:lang w:val="en-US"/>
              </w:rPr>
              <w:t>E is for the Czech Republic or abroad)</w:t>
            </w:r>
          </w:p>
        </w:tc>
      </w:tr>
      <w:tr w:rsidR="00051F41" w:rsidRPr="00940504" w14:paraId="1BE30DA3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3AD73AB7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992" w:type="dxa"/>
          </w:tcPr>
          <w:p w14:paraId="6DF462F5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3854119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A1F2BBB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8DD81FE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3</w:t>
            </w:r>
          </w:p>
        </w:tc>
        <w:tc>
          <w:tcPr>
            <w:tcW w:w="5674" w:type="dxa"/>
            <w:noWrap/>
            <w:vAlign w:val="bottom"/>
            <w:hideMark/>
          </w:tcPr>
          <w:p w14:paraId="44D0DE0A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i/>
                <w:lang w:val="en-US"/>
              </w:rPr>
              <w:t>Not used, but profile retained due to OPM PIC standardization</w:t>
            </w:r>
          </w:p>
        </w:tc>
      </w:tr>
      <w:tr w:rsidR="00051F41" w:rsidRPr="00940504" w14:paraId="45B9D289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708EDE2F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992" w:type="dxa"/>
          </w:tcPr>
          <w:p w14:paraId="33EEA537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544F76F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1D54FF7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F698D20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4</w:t>
            </w:r>
          </w:p>
        </w:tc>
        <w:tc>
          <w:tcPr>
            <w:tcW w:w="5674" w:type="dxa"/>
            <w:noWrap/>
            <w:vAlign w:val="bottom"/>
            <w:hideMark/>
          </w:tcPr>
          <w:p w14:paraId="5F57C8A9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strike/>
                <w:lang w:val="en-US"/>
              </w:rPr>
            </w:pPr>
            <w:r w:rsidRPr="00940504">
              <w:rPr>
                <w:rFonts w:cs="Aptos"/>
                <w:i/>
                <w:lang w:val="en-US"/>
              </w:rPr>
              <w:t>Not used, but profile retained due to OPM PIC standardization</w:t>
            </w:r>
          </w:p>
        </w:tc>
      </w:tr>
      <w:tr w:rsidR="00051F41" w:rsidRPr="00940504" w14:paraId="050E47FE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04CEB521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992" w:type="dxa"/>
          </w:tcPr>
          <w:p w14:paraId="090760EC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</w:tcPr>
          <w:p w14:paraId="7B1DFE78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709" w:type="dxa"/>
            <w:noWrap/>
            <w:vAlign w:val="bottom"/>
          </w:tcPr>
          <w:p w14:paraId="48B83F66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709" w:type="dxa"/>
            <w:noWrap/>
            <w:vAlign w:val="bottom"/>
          </w:tcPr>
          <w:p w14:paraId="5F6504FE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5</w:t>
            </w:r>
          </w:p>
        </w:tc>
        <w:tc>
          <w:tcPr>
            <w:tcW w:w="5674" w:type="dxa"/>
            <w:noWrap/>
            <w:vAlign w:val="bottom"/>
          </w:tcPr>
          <w:p w14:paraId="417D756A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strike/>
                <w:lang w:val="en-US"/>
              </w:rPr>
            </w:pPr>
            <w:r w:rsidRPr="00940504">
              <w:rPr>
                <w:rFonts w:cs="Aptos"/>
                <w:i/>
                <w:lang w:val="en-US"/>
              </w:rPr>
              <w:t>Not used, but profile retained due to OPM PIC standardization</w:t>
            </w:r>
          </w:p>
        </w:tc>
      </w:tr>
      <w:tr w:rsidR="00051F41" w:rsidRPr="00940504" w14:paraId="3FD43845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0FEC7EA5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992" w:type="dxa"/>
          </w:tcPr>
          <w:p w14:paraId="7EC32939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</w:tcPr>
          <w:p w14:paraId="20117322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709" w:type="dxa"/>
            <w:noWrap/>
            <w:vAlign w:val="bottom"/>
          </w:tcPr>
          <w:p w14:paraId="587AA9E7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709" w:type="dxa"/>
            <w:noWrap/>
            <w:vAlign w:val="bottom"/>
          </w:tcPr>
          <w:p w14:paraId="74D4F8DA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6</w:t>
            </w:r>
          </w:p>
        </w:tc>
        <w:tc>
          <w:tcPr>
            <w:tcW w:w="5674" w:type="dxa"/>
            <w:noWrap/>
            <w:vAlign w:val="bottom"/>
          </w:tcPr>
          <w:p w14:paraId="295BBFA7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strike/>
                <w:lang w:val="en-US"/>
              </w:rPr>
            </w:pPr>
            <w:r w:rsidRPr="00940504">
              <w:rPr>
                <w:rFonts w:cs="Aptos"/>
                <w:i/>
                <w:lang w:val="en-US"/>
              </w:rPr>
              <w:t>Not used, but profile retained due to OPM PIC standardization</w:t>
            </w:r>
          </w:p>
        </w:tc>
      </w:tr>
      <w:tr w:rsidR="00051F41" w:rsidRPr="00940504" w14:paraId="35982303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4B7F774C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992" w:type="dxa"/>
          </w:tcPr>
          <w:p w14:paraId="74107C58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77F1EBA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2CA88A2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14:paraId="4EE87821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b/>
                <w:strike/>
                <w:lang w:val="en-US"/>
              </w:rPr>
            </w:pPr>
            <w:r w:rsidRPr="00940504">
              <w:rPr>
                <w:rFonts w:cs="Aptos"/>
                <w:b/>
                <w:lang w:val="en-US"/>
              </w:rPr>
              <w:t>9</w:t>
            </w:r>
          </w:p>
        </w:tc>
        <w:tc>
          <w:tcPr>
            <w:tcW w:w="5674" w:type="dxa"/>
            <w:noWrap/>
            <w:vAlign w:val="bottom"/>
          </w:tcPr>
          <w:p w14:paraId="47557C8E" w14:textId="25B30384" w:rsidR="003929AA" w:rsidRPr="00940504" w:rsidRDefault="004332E2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>
              <w:rPr>
                <w:rFonts w:cs="Aptos"/>
                <w:b/>
                <w:lang w:val="en-US"/>
              </w:rPr>
              <w:t>F</w:t>
            </w:r>
            <w:r w:rsidR="00F4026C" w:rsidRPr="00940504">
              <w:rPr>
                <w:rFonts w:cs="Aptos"/>
                <w:b/>
                <w:lang w:val="en-US"/>
              </w:rPr>
              <w:t xml:space="preserve">ailure to provide </w:t>
            </w:r>
            <w:r>
              <w:rPr>
                <w:rFonts w:cs="Aptos"/>
                <w:b/>
                <w:lang w:val="en-US"/>
              </w:rPr>
              <w:t>B</w:t>
            </w:r>
            <w:r w:rsidR="00F4026C" w:rsidRPr="00940504">
              <w:rPr>
                <w:rFonts w:cs="Aptos"/>
                <w:b/>
                <w:lang w:val="en-US"/>
              </w:rPr>
              <w:t xml:space="preserve">E+ of the required quality </w:t>
            </w:r>
            <w:r w:rsidR="00F4026C" w:rsidRPr="00940504">
              <w:rPr>
                <w:rFonts w:cs="Aptos"/>
                <w:b/>
                <w:vertAlign w:val="superscript"/>
                <w:lang w:val="en-US"/>
              </w:rPr>
              <w:footnoteReference w:id="4"/>
            </w:r>
          </w:p>
        </w:tc>
      </w:tr>
      <w:tr w:rsidR="00051F41" w:rsidRPr="00940504" w14:paraId="1F6DA630" w14:textId="77777777" w:rsidTr="000F32FB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2883F23F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992" w:type="dxa"/>
          </w:tcPr>
          <w:p w14:paraId="68F131A7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080ABA8C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EA34F66" w14:textId="77777777" w:rsidR="00051F41" w:rsidRPr="00940504" w:rsidRDefault="00051F41" w:rsidP="006B425F">
            <w:pPr>
              <w:spacing w:after="85" w:line="227" w:lineRule="atLeast"/>
              <w:jc w:val="both"/>
              <w:rPr>
                <w:rFonts w:cs="Aptos"/>
                <w:lang w:val="en-US"/>
              </w:rPr>
            </w:pPr>
            <w:r w:rsidRPr="00940504">
              <w:rPr>
                <w:rFonts w:cs="Aptos"/>
                <w:lang w:val="en-US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14:paraId="7A29BAEB" w14:textId="77777777" w:rsidR="003929AA" w:rsidRPr="00940504" w:rsidRDefault="00F4026C">
            <w:pPr>
              <w:spacing w:after="85" w:line="227" w:lineRule="atLeast"/>
              <w:jc w:val="both"/>
              <w:rPr>
                <w:rFonts w:cs="Aptos"/>
                <w:b/>
                <w:strike/>
                <w:lang w:val="en-US"/>
              </w:rPr>
            </w:pPr>
            <w:r w:rsidRPr="00940504">
              <w:rPr>
                <w:rFonts w:cs="Aptos"/>
                <w:b/>
                <w:lang w:val="en-US"/>
              </w:rPr>
              <w:t>0</w:t>
            </w:r>
          </w:p>
        </w:tc>
        <w:tc>
          <w:tcPr>
            <w:tcW w:w="5674" w:type="dxa"/>
            <w:noWrap/>
            <w:vAlign w:val="bottom"/>
          </w:tcPr>
          <w:p w14:paraId="2DF4B26C" w14:textId="4A68BB2E" w:rsidR="003929AA" w:rsidRPr="00940504" w:rsidRDefault="00051F41">
            <w:pPr>
              <w:spacing w:after="85" w:line="227" w:lineRule="atLeast"/>
              <w:jc w:val="both"/>
              <w:rPr>
                <w:rFonts w:cs="Aptos"/>
                <w:b/>
                <w:lang w:val="en-US"/>
              </w:rPr>
            </w:pPr>
            <w:r w:rsidRPr="00940504">
              <w:rPr>
                <w:rFonts w:cs="Aptos"/>
                <w:b/>
                <w:lang w:val="en-US"/>
              </w:rPr>
              <w:t xml:space="preserve">Failure to provide </w:t>
            </w:r>
            <w:r w:rsidR="004332E2">
              <w:rPr>
                <w:rFonts w:cs="Aptos"/>
                <w:b/>
                <w:lang w:val="en-US"/>
              </w:rPr>
              <w:t>B</w:t>
            </w:r>
            <w:r w:rsidRPr="00940504">
              <w:rPr>
                <w:rFonts w:cs="Aptos"/>
                <w:b/>
                <w:lang w:val="en-US"/>
              </w:rPr>
              <w:t>E of the required quality</w:t>
            </w:r>
          </w:p>
        </w:tc>
      </w:tr>
    </w:tbl>
    <w:p w14:paraId="4C8D47D1" w14:textId="77777777" w:rsidR="00605A6E" w:rsidRPr="00940504" w:rsidRDefault="00605A6E" w:rsidP="006B425F">
      <w:pPr>
        <w:jc w:val="both"/>
        <w:rPr>
          <w:lang w:val="en-US"/>
        </w:rPr>
      </w:pPr>
    </w:p>
    <w:p w14:paraId="63090899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>Inventory of all PICASSO profiles in use:</w:t>
      </w:r>
    </w:p>
    <w:p w14:paraId="6C9BB018" w14:textId="0ED36091" w:rsidR="00A35CCC" w:rsidRPr="00940504" w:rsidRDefault="001B1455" w:rsidP="006B425F">
      <w:pPr>
        <w:jc w:val="both"/>
        <w:rPr>
          <w:lang w:val="en-US"/>
        </w:rPr>
      </w:pPr>
      <w:r>
        <w:rPr>
          <w:lang w:val="en-US"/>
        </w:rPr>
        <w:object w:dxaOrig="1532" w:dyaOrig="991" w14:anchorId="2EBE5243">
          <v:shape id="_x0000_i1075" type="#_x0000_t75" style="width:76.5pt;height:49.5pt" o:ole="">
            <v:imagedata r:id="rId16" o:title=""/>
          </v:shape>
          <o:OLEObject Type="Embed" ProgID="Excel.Sheet.12" ShapeID="_x0000_i1075" DrawAspect="Icon" ObjectID="_1786281919" r:id="rId17"/>
        </w:object>
      </w:r>
      <w:r>
        <w:rPr>
          <w:lang w:val="en-US"/>
        </w:rPr>
        <w:object w:dxaOrig="1532" w:dyaOrig="991" w14:anchorId="5E2C4981">
          <v:shape id="_x0000_i1076" type="#_x0000_t75" style="width:76.5pt;height:49.5pt" o:ole="">
            <v:imagedata r:id="rId18" o:title=""/>
          </v:shape>
          <o:OLEObject Type="Embed" ProgID="Package" ShapeID="_x0000_i1076" DrawAspect="Icon" ObjectID="_1786281920" r:id="rId19"/>
        </w:object>
      </w:r>
    </w:p>
    <w:p w14:paraId="2BBF72BE" w14:textId="77777777" w:rsidR="00655448" w:rsidRPr="00940504" w:rsidRDefault="00655448" w:rsidP="006B425F">
      <w:pPr>
        <w:jc w:val="both"/>
        <w:rPr>
          <w:lang w:val="en-US"/>
        </w:rPr>
      </w:pPr>
    </w:p>
    <w:p w14:paraId="6AA1BDC2" w14:textId="529792C5" w:rsidR="003929AA" w:rsidRPr="00940504" w:rsidRDefault="001B1455">
      <w:pPr>
        <w:pStyle w:val="Nadpis2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Registration of balancing energy </w:t>
      </w:r>
      <w:r w:rsidRPr="00940504">
        <w:rPr>
          <w:lang w:val="en-US"/>
        </w:rPr>
        <w:t>from European platforms</w:t>
      </w:r>
      <w:r w:rsidRPr="00940504">
        <w:rPr>
          <w:lang w:val="en-US"/>
        </w:rPr>
        <w:t xml:space="preserve"> </w:t>
      </w:r>
      <w:r>
        <w:rPr>
          <w:lang w:val="en-US"/>
        </w:rPr>
        <w:t>- w</w:t>
      </w:r>
      <w:r w:rsidR="00F4026C" w:rsidRPr="00940504">
        <w:rPr>
          <w:lang w:val="en-US"/>
        </w:rPr>
        <w:t xml:space="preserve">ork with profile values on </w:t>
      </w:r>
      <w:r w:rsidR="00AA768E" w:rsidRPr="00940504">
        <w:rPr>
          <w:lang w:val="en-US"/>
        </w:rPr>
        <w:t>EAN</w:t>
      </w:r>
      <w:r>
        <w:rPr>
          <w:lang w:val="en-US"/>
        </w:rPr>
        <w:t xml:space="preserve"> points</w:t>
      </w:r>
    </w:p>
    <w:p w14:paraId="59F9BA67" w14:textId="0864A3F1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New profile types have been created on EAN </w:t>
      </w:r>
      <w:r w:rsidR="001B1455">
        <w:rPr>
          <w:lang w:val="en-US"/>
        </w:rPr>
        <w:t>points</w:t>
      </w:r>
      <w:r w:rsidRPr="00940504">
        <w:rPr>
          <w:lang w:val="en-US"/>
        </w:rPr>
        <w:t xml:space="preserve"> </w:t>
      </w:r>
      <w:r w:rsidR="00A309C9" w:rsidRPr="00940504">
        <w:rPr>
          <w:lang w:val="en-US"/>
        </w:rPr>
        <w:t xml:space="preserve">for reporting </w:t>
      </w:r>
      <w:r w:rsidR="001B1455">
        <w:rPr>
          <w:lang w:val="en-US"/>
        </w:rPr>
        <w:t>B</w:t>
      </w:r>
      <w:r w:rsidR="00A309C9" w:rsidRPr="00940504">
        <w:rPr>
          <w:lang w:val="en-US"/>
        </w:rPr>
        <w:t xml:space="preserve">E data from European platforms </w:t>
      </w:r>
      <w:r w:rsidR="002C5F5C" w:rsidRPr="00940504">
        <w:rPr>
          <w:lang w:val="en-US"/>
        </w:rPr>
        <w:t>(see above)</w:t>
      </w:r>
      <w:r w:rsidR="00A309C9" w:rsidRPr="00940504">
        <w:rPr>
          <w:lang w:val="en-US"/>
        </w:rPr>
        <w:t xml:space="preserve">. Historical </w:t>
      </w:r>
      <w:r w:rsidR="009B3A4C" w:rsidRPr="00940504">
        <w:rPr>
          <w:lang w:val="en-US"/>
        </w:rPr>
        <w:t xml:space="preserve">F* </w:t>
      </w:r>
      <w:r w:rsidR="00A309C9" w:rsidRPr="00940504">
        <w:rPr>
          <w:lang w:val="en-US"/>
        </w:rPr>
        <w:t xml:space="preserve">and </w:t>
      </w:r>
      <w:r w:rsidR="009B3A4C" w:rsidRPr="00940504">
        <w:rPr>
          <w:lang w:val="en-US"/>
        </w:rPr>
        <w:t xml:space="preserve">G* </w:t>
      </w:r>
      <w:r w:rsidR="00A309C9" w:rsidRPr="00940504">
        <w:rPr>
          <w:lang w:val="en-US"/>
        </w:rPr>
        <w:t xml:space="preserve">profiles are </w:t>
      </w:r>
      <w:r w:rsidR="003E67D1" w:rsidRPr="00940504">
        <w:rPr>
          <w:lang w:val="en-US"/>
        </w:rPr>
        <w:t xml:space="preserve">also </w:t>
      </w:r>
      <w:r w:rsidR="00A309C9" w:rsidRPr="00940504">
        <w:rPr>
          <w:lang w:val="en-US"/>
        </w:rPr>
        <w:t xml:space="preserve">used for calculations over the </w:t>
      </w:r>
      <w:r w:rsidR="001B1455">
        <w:rPr>
          <w:lang w:val="en-US"/>
        </w:rPr>
        <w:t>B</w:t>
      </w:r>
      <w:r w:rsidR="00A309C9" w:rsidRPr="00940504">
        <w:rPr>
          <w:lang w:val="en-US"/>
        </w:rPr>
        <w:t xml:space="preserve">E data provided after 1 April </w:t>
      </w:r>
      <w:r w:rsidRPr="00940504">
        <w:rPr>
          <w:lang w:val="en-US"/>
        </w:rPr>
        <w:t>2022</w:t>
      </w:r>
      <w:r w:rsidR="00A309C9" w:rsidRPr="00940504">
        <w:rPr>
          <w:lang w:val="en-US"/>
        </w:rPr>
        <w:t xml:space="preserve">. However, their use </w:t>
      </w:r>
      <w:r w:rsidR="00FA33B5" w:rsidRPr="00940504">
        <w:rPr>
          <w:lang w:val="en-US"/>
        </w:rPr>
        <w:t xml:space="preserve">is </w:t>
      </w:r>
      <w:r w:rsidR="00A309C9" w:rsidRPr="00940504">
        <w:rPr>
          <w:lang w:val="en-US"/>
        </w:rPr>
        <w:t xml:space="preserve">reduced to the </w:t>
      </w:r>
      <w:r w:rsidRPr="00940504">
        <w:rPr>
          <w:lang w:val="en-US"/>
        </w:rPr>
        <w:t xml:space="preserve">transmission of </w:t>
      </w:r>
      <w:r w:rsidR="001B1455">
        <w:rPr>
          <w:lang w:val="en-US"/>
        </w:rPr>
        <w:t>B</w:t>
      </w:r>
      <w:r w:rsidR="00A309C9" w:rsidRPr="00940504">
        <w:rPr>
          <w:lang w:val="en-US"/>
        </w:rPr>
        <w:t xml:space="preserve">E data provided for mFRR5 </w:t>
      </w:r>
      <w:r w:rsidR="00613FED" w:rsidRPr="00940504">
        <w:rPr>
          <w:lang w:val="en-US"/>
        </w:rPr>
        <w:t xml:space="preserve">(profiles F11, F12 </w:t>
      </w:r>
      <w:r w:rsidR="00FA33B5" w:rsidRPr="00940504">
        <w:rPr>
          <w:lang w:val="en-US"/>
        </w:rPr>
        <w:t>are used</w:t>
      </w:r>
      <w:r w:rsidR="00613FED" w:rsidRPr="00940504">
        <w:rPr>
          <w:lang w:val="en-US"/>
        </w:rPr>
        <w:t xml:space="preserve">, G11 and G12 on newly created EAN </w:t>
      </w:r>
      <w:r w:rsidR="001B1455">
        <w:rPr>
          <w:lang w:val="en-US"/>
        </w:rPr>
        <w:t>points f</w:t>
      </w:r>
      <w:r w:rsidR="00613FED" w:rsidRPr="00940504">
        <w:rPr>
          <w:lang w:val="en-US"/>
        </w:rPr>
        <w:t xml:space="preserve">or mFRR5 with AGR resource type) </w:t>
      </w:r>
      <w:r w:rsidR="00A309C9" w:rsidRPr="00940504">
        <w:rPr>
          <w:lang w:val="en-US"/>
        </w:rPr>
        <w:t xml:space="preserve">and to report </w:t>
      </w:r>
      <w:r w:rsidR="00613FED" w:rsidRPr="00940504">
        <w:rPr>
          <w:lang w:val="en-US"/>
        </w:rPr>
        <w:t xml:space="preserve">information on </w:t>
      </w:r>
      <w:r w:rsidR="00CE1FDE" w:rsidRPr="00940504">
        <w:rPr>
          <w:lang w:val="en-US"/>
        </w:rPr>
        <w:t xml:space="preserve">redispatch </w:t>
      </w:r>
      <w:r w:rsidR="00613FED" w:rsidRPr="00940504">
        <w:rPr>
          <w:lang w:val="en-US"/>
        </w:rPr>
        <w:t xml:space="preserve">and test activation of the provider's resource (profiles FX1, FX2, FX3, FX4 are used to report this data, as well as GX1, GX2, GX3 and GX4 on current EAN </w:t>
      </w:r>
      <w:r w:rsidR="001B1455">
        <w:rPr>
          <w:lang w:val="en-US"/>
        </w:rPr>
        <w:t>points</w:t>
      </w:r>
      <w:r w:rsidR="00613FED" w:rsidRPr="00940504">
        <w:rPr>
          <w:lang w:val="en-US"/>
        </w:rPr>
        <w:t xml:space="preserve"> </w:t>
      </w:r>
      <w:r w:rsidRPr="00940504">
        <w:rPr>
          <w:lang w:val="en-US"/>
        </w:rPr>
        <w:t xml:space="preserve">on </w:t>
      </w:r>
      <w:r w:rsidR="00613FED" w:rsidRPr="00940504">
        <w:rPr>
          <w:lang w:val="en-US"/>
        </w:rPr>
        <w:t xml:space="preserve">which measurement data are transmitted). </w:t>
      </w:r>
      <w:r w:rsidR="009B3A4C" w:rsidRPr="00940504">
        <w:rPr>
          <w:lang w:val="en-US"/>
        </w:rPr>
        <w:t xml:space="preserve">The processing of </w:t>
      </w:r>
      <w:r w:rsidR="001B1455">
        <w:rPr>
          <w:lang w:val="en-US"/>
        </w:rPr>
        <w:t>B</w:t>
      </w:r>
      <w:r w:rsidR="009B3A4C" w:rsidRPr="00940504">
        <w:rPr>
          <w:lang w:val="en-US"/>
        </w:rPr>
        <w:t xml:space="preserve">E data will now use the existing F* and </w:t>
      </w:r>
      <w:r w:rsidR="002E5B53" w:rsidRPr="00940504">
        <w:rPr>
          <w:lang w:val="en-US"/>
        </w:rPr>
        <w:t xml:space="preserve">G* </w:t>
      </w:r>
      <w:r w:rsidR="009B3A4C" w:rsidRPr="00940504">
        <w:rPr>
          <w:lang w:val="en-US"/>
        </w:rPr>
        <w:t xml:space="preserve">profiles as well as the new sets of profiles generated </w:t>
      </w:r>
      <w:r w:rsidR="002E5B53" w:rsidRPr="00940504">
        <w:rPr>
          <w:lang w:val="en-US"/>
        </w:rPr>
        <w:t xml:space="preserve">on the EAN </w:t>
      </w:r>
      <w:r w:rsidR="00A75187">
        <w:rPr>
          <w:lang w:val="en-US"/>
        </w:rPr>
        <w:t>points</w:t>
      </w:r>
      <w:r w:rsidR="009B3A4C" w:rsidRPr="00940504">
        <w:rPr>
          <w:lang w:val="en-US"/>
        </w:rPr>
        <w:t xml:space="preserve"> used to re</w:t>
      </w:r>
      <w:r w:rsidR="00A75187">
        <w:rPr>
          <w:lang w:val="en-US"/>
        </w:rPr>
        <w:t>gister values and prices of</w:t>
      </w:r>
      <w:r w:rsidR="009B3A4C" w:rsidRPr="00940504">
        <w:rPr>
          <w:lang w:val="en-US"/>
        </w:rPr>
        <w:t xml:space="preserve"> the </w:t>
      </w:r>
      <w:r w:rsidR="00A75187">
        <w:rPr>
          <w:lang w:val="en-US"/>
        </w:rPr>
        <w:t>B</w:t>
      </w:r>
      <w:r w:rsidR="00613FED" w:rsidRPr="00940504">
        <w:rPr>
          <w:lang w:val="en-US"/>
        </w:rPr>
        <w:t xml:space="preserve">E provided through the European platforms. </w:t>
      </w:r>
      <w:r w:rsidR="00A62237" w:rsidRPr="00940504">
        <w:rPr>
          <w:lang w:val="en-US"/>
        </w:rPr>
        <w:t xml:space="preserve">For the resulting display of the </w:t>
      </w:r>
      <w:r w:rsidR="00A75187">
        <w:rPr>
          <w:lang w:val="en-US"/>
        </w:rPr>
        <w:t>balancing</w:t>
      </w:r>
      <w:r w:rsidR="00A62237" w:rsidRPr="00940504">
        <w:rPr>
          <w:lang w:val="en-US"/>
        </w:rPr>
        <w:t xml:space="preserve"> energy provided, the </w:t>
      </w:r>
      <w:r w:rsidR="00A75187">
        <w:rPr>
          <w:lang w:val="en-US"/>
        </w:rPr>
        <w:t>B</w:t>
      </w:r>
      <w:r w:rsidR="00A62237" w:rsidRPr="00940504">
        <w:rPr>
          <w:lang w:val="en-US"/>
        </w:rPr>
        <w:t xml:space="preserve">E provider will display the </w:t>
      </w:r>
      <w:r w:rsidR="00A75187">
        <w:rPr>
          <w:lang w:val="en-US"/>
        </w:rPr>
        <w:t>B</w:t>
      </w:r>
      <w:r w:rsidR="00A62237" w:rsidRPr="00940504">
        <w:rPr>
          <w:lang w:val="en-US"/>
        </w:rPr>
        <w:t xml:space="preserve">E in the </w:t>
      </w:r>
      <w:r w:rsidR="00A62237" w:rsidRPr="00940504">
        <w:rPr>
          <w:b/>
          <w:bCs/>
          <w:lang w:val="en-US"/>
        </w:rPr>
        <w:t>Settlement-&gt;Reports-&gt;</w:t>
      </w:r>
      <w:r w:rsidR="00A75187">
        <w:rPr>
          <w:b/>
          <w:bCs/>
          <w:lang w:val="en-US"/>
        </w:rPr>
        <w:t>Balancing</w:t>
      </w:r>
      <w:r w:rsidR="00A62237" w:rsidRPr="00940504">
        <w:rPr>
          <w:b/>
          <w:bCs/>
          <w:lang w:val="en-US"/>
        </w:rPr>
        <w:t xml:space="preserve"> Energy </w:t>
      </w:r>
      <w:r w:rsidR="00A62237" w:rsidRPr="00940504">
        <w:rPr>
          <w:lang w:val="en-US"/>
        </w:rPr>
        <w:t>report.</w:t>
      </w:r>
    </w:p>
    <w:p w14:paraId="5C70F614" w14:textId="77777777" w:rsidR="003929AA" w:rsidRPr="00940504" w:rsidRDefault="00F4026C">
      <w:pPr>
        <w:pStyle w:val="Nadpis3"/>
        <w:numPr>
          <w:ilvl w:val="1"/>
          <w:numId w:val="10"/>
        </w:numPr>
        <w:jc w:val="both"/>
        <w:rPr>
          <w:lang w:val="en-US"/>
        </w:rPr>
      </w:pPr>
      <w:r w:rsidRPr="00940504">
        <w:rPr>
          <w:lang w:val="en-US"/>
        </w:rPr>
        <w:t>SVR provider's view</w:t>
      </w:r>
    </w:p>
    <w:p w14:paraId="749D5659" w14:textId="39A2FD46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From the SVR provider's perspective, the </w:t>
      </w:r>
      <w:r w:rsidR="00A75187">
        <w:rPr>
          <w:lang w:val="en-US"/>
        </w:rPr>
        <w:t>balancing</w:t>
      </w:r>
      <w:r w:rsidRPr="00940504">
        <w:rPr>
          <w:lang w:val="en-US"/>
        </w:rPr>
        <w:t xml:space="preserve"> energy is divided </w:t>
      </w:r>
      <w:r w:rsidR="002E5B53" w:rsidRPr="00940504">
        <w:rPr>
          <w:lang w:val="en-US"/>
        </w:rPr>
        <w:t xml:space="preserve">(at the MMS </w:t>
      </w:r>
      <w:r w:rsidR="000511A2" w:rsidRPr="00940504">
        <w:rPr>
          <w:lang w:val="en-US"/>
        </w:rPr>
        <w:t xml:space="preserve">CEPS </w:t>
      </w:r>
      <w:r w:rsidR="002E5B53" w:rsidRPr="00940504">
        <w:rPr>
          <w:lang w:val="en-US"/>
        </w:rPr>
        <w:t xml:space="preserve">level) </w:t>
      </w:r>
      <w:r w:rsidRPr="00940504">
        <w:rPr>
          <w:lang w:val="en-US"/>
        </w:rPr>
        <w:t xml:space="preserve">into the individual 15 minutes in </w:t>
      </w:r>
      <w:r w:rsidR="002C5F5C" w:rsidRPr="00940504">
        <w:rPr>
          <w:lang w:val="en-US"/>
        </w:rPr>
        <w:t xml:space="preserve">which </w:t>
      </w:r>
      <w:r w:rsidRPr="00940504">
        <w:rPr>
          <w:lang w:val="en-US"/>
        </w:rPr>
        <w:t xml:space="preserve">the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 was provided. </w:t>
      </w:r>
      <w:r w:rsidR="00B64D21" w:rsidRPr="00940504">
        <w:rPr>
          <w:lang w:val="en-US"/>
        </w:rPr>
        <w:t>Subsequently, the data at the 15-minute granularity is transmitted to the CS OTE</w:t>
      </w:r>
      <w:r w:rsidR="00A75187">
        <w:rPr>
          <w:lang w:val="en-US"/>
        </w:rPr>
        <w:t xml:space="preserve"> system</w:t>
      </w:r>
      <w:r w:rsidR="00B64D21" w:rsidRPr="00940504">
        <w:rPr>
          <w:lang w:val="en-US"/>
        </w:rPr>
        <w:t xml:space="preserve">. </w:t>
      </w:r>
      <w:r w:rsidRPr="00940504">
        <w:rPr>
          <w:lang w:val="en-US"/>
        </w:rPr>
        <w:t>For each platform, the data is reported as follows:</w:t>
      </w:r>
    </w:p>
    <w:p w14:paraId="5306828D" w14:textId="56550D50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lastRenderedPageBreak/>
        <w:t xml:space="preserve">TERRE (RR) - total for all units that provided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 on the virtual </w:t>
      </w:r>
      <w:r w:rsidR="003E67D1" w:rsidRPr="00940504">
        <w:rPr>
          <w:lang w:val="en-US"/>
        </w:rPr>
        <w:t xml:space="preserve">EAN </w:t>
      </w:r>
      <w:r w:rsidR="00A75187">
        <w:rPr>
          <w:lang w:val="en-US"/>
        </w:rPr>
        <w:t xml:space="preserve">point </w:t>
      </w:r>
      <w:r w:rsidRPr="00940504">
        <w:rPr>
          <w:lang w:val="en-US"/>
        </w:rPr>
        <w:t>of the provider with the TER resource type</w:t>
      </w:r>
    </w:p>
    <w:p w14:paraId="3BCB3C8E" w14:textId="6D8C7238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MARI (mFRR 12.5) - aggregated for all units that provided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E, broken down by </w:t>
      </w:r>
      <w:r w:rsidR="002B28F6" w:rsidRPr="00940504">
        <w:rPr>
          <w:lang w:val="en-US"/>
        </w:rPr>
        <w:t>activation method into planned and direct activation</w:t>
      </w:r>
    </w:p>
    <w:p w14:paraId="7EDEEB8C" w14:textId="7777777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>PICASSO (aFRR) - individually by each unit providing the advance</w:t>
      </w:r>
    </w:p>
    <w:p w14:paraId="48FF6381" w14:textId="1EE52B27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mFRR5 </w:t>
      </w:r>
      <w:r w:rsidR="004278BA" w:rsidRPr="00940504">
        <w:rPr>
          <w:lang w:val="en-US"/>
        </w:rPr>
        <w:t xml:space="preserve">- </w:t>
      </w:r>
      <w:r w:rsidRPr="00940504">
        <w:rPr>
          <w:lang w:val="en-US"/>
        </w:rPr>
        <w:t xml:space="preserve">for these newly registered </w:t>
      </w:r>
      <w:r w:rsidR="002C5F5C" w:rsidRPr="00940504">
        <w:rPr>
          <w:lang w:val="en-US"/>
        </w:rPr>
        <w:t xml:space="preserve">EAN </w:t>
      </w:r>
      <w:r w:rsidR="00A75187">
        <w:rPr>
          <w:lang w:val="en-US"/>
        </w:rPr>
        <w:t>points</w:t>
      </w:r>
      <w:r w:rsidRPr="00940504">
        <w:rPr>
          <w:lang w:val="en-US"/>
        </w:rPr>
        <w:t xml:space="preserve">, data on the provided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 is transmitted on profiles </w:t>
      </w:r>
      <w:r w:rsidR="00AF61B7" w:rsidRPr="00940504">
        <w:rPr>
          <w:lang w:val="en-US"/>
        </w:rPr>
        <w:t>(</w:t>
      </w:r>
      <w:r w:rsidR="00A62237" w:rsidRPr="00940504">
        <w:rPr>
          <w:lang w:val="en-US"/>
        </w:rPr>
        <w:t xml:space="preserve">F* </w:t>
      </w:r>
      <w:r w:rsidR="00AF61B7" w:rsidRPr="00940504">
        <w:rPr>
          <w:lang w:val="en-US"/>
        </w:rPr>
        <w:t xml:space="preserve">and </w:t>
      </w:r>
      <w:r w:rsidR="00A62237" w:rsidRPr="00940504">
        <w:rPr>
          <w:lang w:val="en-US"/>
        </w:rPr>
        <w:t>G*</w:t>
      </w:r>
      <w:r w:rsidR="00AF61B7" w:rsidRPr="00940504">
        <w:rPr>
          <w:lang w:val="en-US"/>
        </w:rPr>
        <w:t xml:space="preserve">) </w:t>
      </w:r>
      <w:r w:rsidRPr="00940504">
        <w:rPr>
          <w:lang w:val="en-US"/>
        </w:rPr>
        <w:t xml:space="preserve">at </w:t>
      </w:r>
      <w:r w:rsidR="001F3B83" w:rsidRPr="00940504">
        <w:rPr>
          <w:lang w:val="en-US"/>
        </w:rPr>
        <w:t xml:space="preserve">15-minute </w:t>
      </w:r>
      <w:r w:rsidRPr="00940504">
        <w:rPr>
          <w:lang w:val="en-US"/>
        </w:rPr>
        <w:t>resolution</w:t>
      </w:r>
    </w:p>
    <w:p w14:paraId="08991945" w14:textId="5D6F623E" w:rsidR="003929AA" w:rsidRPr="00940504" w:rsidRDefault="00F4026C">
      <w:pPr>
        <w:pStyle w:val="Nadpis3"/>
        <w:numPr>
          <w:ilvl w:val="1"/>
          <w:numId w:val="10"/>
        </w:numPr>
        <w:jc w:val="both"/>
        <w:rPr>
          <w:lang w:val="en-US"/>
        </w:rPr>
      </w:pPr>
      <w:r w:rsidRPr="00940504">
        <w:rPr>
          <w:lang w:val="en-US"/>
        </w:rPr>
        <w:t xml:space="preserve">View </w:t>
      </w:r>
      <w:r w:rsidR="00A75187">
        <w:rPr>
          <w:lang w:val="en-US"/>
        </w:rPr>
        <w:t>BRP</w:t>
      </w:r>
    </w:p>
    <w:p w14:paraId="746B1187" w14:textId="5766F719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For the </w:t>
      </w:r>
      <w:r w:rsidR="00A75187">
        <w:rPr>
          <w:lang w:val="en-US"/>
        </w:rPr>
        <w:t xml:space="preserve">balance responsible party (BRP), who is </w:t>
      </w:r>
      <w:r w:rsidRPr="00940504">
        <w:rPr>
          <w:lang w:val="en-US"/>
        </w:rPr>
        <w:t xml:space="preserve">responsible for the </w:t>
      </w:r>
      <w:r w:rsidR="003E67D1" w:rsidRPr="00940504">
        <w:rPr>
          <w:lang w:val="en-US"/>
        </w:rPr>
        <w:t xml:space="preserve">EAN </w:t>
      </w:r>
      <w:r w:rsidR="00A75187">
        <w:rPr>
          <w:lang w:val="en-US"/>
        </w:rPr>
        <w:t>point</w:t>
      </w:r>
      <w:r w:rsidRPr="00940504">
        <w:rPr>
          <w:lang w:val="en-US"/>
        </w:rPr>
        <w:t xml:space="preserve"> </w:t>
      </w:r>
      <w:r w:rsidR="004E55E6">
        <w:rPr>
          <w:lang w:val="en-US"/>
        </w:rPr>
        <w:t>imbalance</w:t>
      </w:r>
      <w:r w:rsidRPr="00940504">
        <w:rPr>
          <w:lang w:val="en-US"/>
        </w:rPr>
        <w:t xml:space="preserve"> for the transmission of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 data from European platforms, the impact of the transmitted </w:t>
      </w:r>
      <w:r w:rsidR="00A75187">
        <w:rPr>
          <w:lang w:val="en-US"/>
        </w:rPr>
        <w:t>B</w:t>
      </w:r>
      <w:r w:rsidR="00906F6F" w:rsidRPr="00940504">
        <w:rPr>
          <w:lang w:val="en-US"/>
        </w:rPr>
        <w:t>E</w:t>
      </w:r>
      <w:r w:rsidRPr="00940504">
        <w:rPr>
          <w:lang w:val="en-US"/>
        </w:rPr>
        <w:t xml:space="preserve"> data on its overall balance sheet is important. The </w:t>
      </w:r>
      <w:r w:rsidR="00A75187">
        <w:rPr>
          <w:lang w:val="en-US"/>
        </w:rPr>
        <w:t>B</w:t>
      </w:r>
      <w:r w:rsidRPr="00940504">
        <w:rPr>
          <w:lang w:val="en-US"/>
        </w:rPr>
        <w:t xml:space="preserve">E data from European platforms are subtracted from </w:t>
      </w:r>
      <w:r w:rsidR="00906F6F" w:rsidRPr="00940504">
        <w:rPr>
          <w:lang w:val="en-US"/>
        </w:rPr>
        <w:t xml:space="preserve">the </w:t>
      </w:r>
      <w:r w:rsidRPr="00940504">
        <w:rPr>
          <w:lang w:val="en-US"/>
        </w:rPr>
        <w:t xml:space="preserve">relevant profiles identically to the original </w:t>
      </w:r>
      <w:r w:rsidR="002C5F5C" w:rsidRPr="00940504">
        <w:rPr>
          <w:lang w:val="en-US"/>
        </w:rPr>
        <w:t xml:space="preserve">F* </w:t>
      </w:r>
      <w:r w:rsidRPr="00940504">
        <w:rPr>
          <w:lang w:val="en-US"/>
        </w:rPr>
        <w:t xml:space="preserve">profiles. In order to reproduce the summation of the data drop into the balance of the </w:t>
      </w:r>
      <w:r w:rsidR="00A75187">
        <w:rPr>
          <w:lang w:val="en-US"/>
        </w:rPr>
        <w:t>BRP</w:t>
      </w:r>
      <w:r w:rsidRPr="00940504">
        <w:rPr>
          <w:lang w:val="en-US"/>
        </w:rPr>
        <w:t>, the sum over all quantity profiles (</w:t>
      </w:r>
      <w:r w:rsidR="00906F6F" w:rsidRPr="00940504">
        <w:rPr>
          <w:lang w:val="en-US"/>
        </w:rPr>
        <w:t xml:space="preserve">"V" in the </w:t>
      </w:r>
      <w:r w:rsidRPr="00940504">
        <w:rPr>
          <w:lang w:val="en-US"/>
        </w:rPr>
        <w:t xml:space="preserve">2nd </w:t>
      </w:r>
      <w:r w:rsidR="00906F6F" w:rsidRPr="00940504">
        <w:rPr>
          <w:lang w:val="en-US"/>
        </w:rPr>
        <w:t>character of the profile name</w:t>
      </w:r>
      <w:r w:rsidRPr="00940504">
        <w:rPr>
          <w:lang w:val="en-US"/>
        </w:rPr>
        <w:t xml:space="preserve">) can </w:t>
      </w:r>
      <w:r w:rsidR="00906F6F" w:rsidRPr="00940504">
        <w:rPr>
          <w:lang w:val="en-US"/>
        </w:rPr>
        <w:t xml:space="preserve">be added to the balance of the </w:t>
      </w:r>
      <w:r w:rsidR="00994A08" w:rsidRPr="00940504">
        <w:rPr>
          <w:lang w:val="en-US"/>
        </w:rPr>
        <w:t xml:space="preserve">F* </w:t>
      </w:r>
      <w:r w:rsidR="00906F6F" w:rsidRPr="00940504">
        <w:rPr>
          <w:lang w:val="en-US"/>
        </w:rPr>
        <w:t>profiles in a given direction</w:t>
      </w:r>
      <w:r w:rsidRPr="00940504">
        <w:rPr>
          <w:lang w:val="en-US"/>
        </w:rPr>
        <w:t xml:space="preserve">, </w:t>
      </w:r>
      <w:r w:rsidR="00906F6F" w:rsidRPr="00940504">
        <w:rPr>
          <w:lang w:val="en-US"/>
        </w:rPr>
        <w:t xml:space="preserve">divided according to the last character of the profile (if the last character is odd, it is </w:t>
      </w:r>
      <w:r w:rsidR="00F339FF">
        <w:rPr>
          <w:lang w:val="en-US"/>
        </w:rPr>
        <w:t>B</w:t>
      </w:r>
      <w:r w:rsidR="00906F6F" w:rsidRPr="00940504">
        <w:rPr>
          <w:lang w:val="en-US"/>
        </w:rPr>
        <w:t xml:space="preserve">E+, if even, it is </w:t>
      </w:r>
      <w:r w:rsidR="00F339FF">
        <w:rPr>
          <w:lang w:val="en-US"/>
        </w:rPr>
        <w:t>B</w:t>
      </w:r>
      <w:r w:rsidR="00906F6F" w:rsidRPr="00940504">
        <w:rPr>
          <w:lang w:val="en-US"/>
        </w:rPr>
        <w:t xml:space="preserve">E-). The result of the calculation is the sum of the </w:t>
      </w:r>
      <w:r w:rsidR="00F339FF">
        <w:rPr>
          <w:lang w:val="en-US"/>
        </w:rPr>
        <w:t>B</w:t>
      </w:r>
      <w:r w:rsidR="00906F6F" w:rsidRPr="00940504">
        <w:rPr>
          <w:lang w:val="en-US"/>
        </w:rPr>
        <w:t xml:space="preserve">Es in a given direction, which is subtracted from the balance of that </w:t>
      </w:r>
      <w:r w:rsidR="00F339FF">
        <w:rPr>
          <w:lang w:val="en-US"/>
        </w:rPr>
        <w:t>BRP</w:t>
      </w:r>
      <w:r w:rsidR="00906F6F" w:rsidRPr="00940504">
        <w:rPr>
          <w:lang w:val="en-US"/>
        </w:rPr>
        <w:t xml:space="preserve"> in a given </w:t>
      </w:r>
      <w:r w:rsidR="004278BA" w:rsidRPr="00940504">
        <w:rPr>
          <w:lang w:val="en-US"/>
        </w:rPr>
        <w:t>quarter-hour</w:t>
      </w:r>
      <w:r w:rsidR="003E67D1" w:rsidRPr="00940504">
        <w:rPr>
          <w:lang w:val="en-US"/>
        </w:rPr>
        <w:t xml:space="preserve">. </w:t>
      </w:r>
    </w:p>
    <w:p w14:paraId="4A8C615A" w14:textId="325177BF" w:rsidR="003929AA" w:rsidRPr="00940504" w:rsidRDefault="004E55E6">
      <w:pPr>
        <w:pStyle w:val="Nadpis3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>Imbalance</w:t>
      </w:r>
      <w:r w:rsidR="00F4026C" w:rsidRPr="00940504">
        <w:rPr>
          <w:lang w:val="en-US"/>
        </w:rPr>
        <w:t xml:space="preserve"> settlement inputs</w:t>
      </w:r>
    </w:p>
    <w:p w14:paraId="067F9689" w14:textId="626E16C3" w:rsidR="003929AA" w:rsidRPr="00940504" w:rsidRDefault="00F4026C">
      <w:pPr>
        <w:jc w:val="both"/>
        <w:rPr>
          <w:lang w:val="en-US"/>
        </w:rPr>
      </w:pPr>
      <w:r w:rsidRPr="00940504">
        <w:rPr>
          <w:lang w:val="en-US"/>
        </w:rPr>
        <w:t xml:space="preserve">The </w:t>
      </w:r>
      <w:r w:rsidR="00F339FF">
        <w:rPr>
          <w:lang w:val="en-US"/>
        </w:rPr>
        <w:t>B</w:t>
      </w:r>
      <w:r w:rsidRPr="00940504">
        <w:rPr>
          <w:lang w:val="en-US"/>
        </w:rPr>
        <w:t xml:space="preserve">E prices from which the </w:t>
      </w:r>
      <w:r w:rsidR="004E55E6">
        <w:rPr>
          <w:lang w:val="en-US"/>
        </w:rPr>
        <w:t>imbalance</w:t>
      </w:r>
      <w:r w:rsidRPr="00940504">
        <w:rPr>
          <w:lang w:val="en-US"/>
        </w:rPr>
        <w:t xml:space="preserve"> </w:t>
      </w:r>
      <w:r w:rsidR="00F339FF">
        <w:rPr>
          <w:lang w:val="en-US"/>
        </w:rPr>
        <w:t xml:space="preserve">prices </w:t>
      </w:r>
      <w:r w:rsidRPr="00940504">
        <w:rPr>
          <w:lang w:val="en-US"/>
        </w:rPr>
        <w:t>and counter-</w:t>
      </w:r>
      <w:r w:rsidR="004E55E6">
        <w:rPr>
          <w:lang w:val="en-US"/>
        </w:rPr>
        <w:t>imbalance</w:t>
      </w:r>
      <w:r w:rsidRPr="00940504">
        <w:rPr>
          <w:lang w:val="en-US"/>
        </w:rPr>
        <w:t xml:space="preserve"> prices are calculated include the current prices on </w:t>
      </w:r>
      <w:r w:rsidR="00994A08" w:rsidRPr="00940504">
        <w:rPr>
          <w:lang w:val="en-US"/>
        </w:rPr>
        <w:t xml:space="preserve">G* </w:t>
      </w:r>
      <w:r w:rsidRPr="00940504">
        <w:rPr>
          <w:lang w:val="en-US"/>
        </w:rPr>
        <w:t>profiles, with the exception of GX1, GX2</w:t>
      </w:r>
      <w:r w:rsidR="002813D3" w:rsidRPr="00940504">
        <w:rPr>
          <w:lang w:val="en-US"/>
        </w:rPr>
        <w:t xml:space="preserve">, GX3 and GX4 </w:t>
      </w:r>
      <w:r w:rsidRPr="00940504">
        <w:rPr>
          <w:lang w:val="en-US"/>
        </w:rPr>
        <w:t>profiles</w:t>
      </w:r>
      <w:r w:rsidR="002813D3" w:rsidRPr="00940504">
        <w:rPr>
          <w:lang w:val="en-US"/>
        </w:rPr>
        <w:t xml:space="preserve">. From the TERRE and MARI type </w:t>
      </w:r>
      <w:r w:rsidR="003E67D1" w:rsidRPr="00940504">
        <w:rPr>
          <w:lang w:val="en-US"/>
        </w:rPr>
        <w:t xml:space="preserve">EAN </w:t>
      </w:r>
      <w:r w:rsidR="00F339FF">
        <w:rPr>
          <w:lang w:val="en-US"/>
        </w:rPr>
        <w:t>points</w:t>
      </w:r>
      <w:r w:rsidR="002813D3" w:rsidRPr="00940504">
        <w:rPr>
          <w:lang w:val="en-US"/>
        </w:rPr>
        <w:t>, only profiles with the value 1 and 2 in the 3rd character of the profile name (</w:t>
      </w:r>
      <w:r w:rsidR="00F339FF">
        <w:rPr>
          <w:lang w:val="en-US"/>
        </w:rPr>
        <w:t>B</w:t>
      </w:r>
      <w:r w:rsidR="002813D3" w:rsidRPr="00940504">
        <w:rPr>
          <w:lang w:val="en-US"/>
        </w:rPr>
        <w:t xml:space="preserve">E supplied for the purposes of </w:t>
      </w:r>
      <w:r w:rsidR="00F339FF">
        <w:rPr>
          <w:lang w:val="en-US"/>
        </w:rPr>
        <w:t>Czechia</w:t>
      </w:r>
      <w:r w:rsidR="002813D3" w:rsidRPr="00940504">
        <w:rPr>
          <w:lang w:val="en-US"/>
        </w:rPr>
        <w:t>) enter</w:t>
      </w:r>
      <w:r w:rsidR="00F339FF">
        <w:rPr>
          <w:lang w:val="en-US"/>
        </w:rPr>
        <w:t xml:space="preserve"> </w:t>
      </w:r>
      <w:r w:rsidR="002813D3" w:rsidRPr="00940504">
        <w:rPr>
          <w:lang w:val="en-US"/>
        </w:rPr>
        <w:t xml:space="preserve">the </w:t>
      </w:r>
      <w:r w:rsidR="004E55E6">
        <w:rPr>
          <w:lang w:val="en-US"/>
        </w:rPr>
        <w:t>imbalance</w:t>
      </w:r>
      <w:r w:rsidR="00F339FF">
        <w:rPr>
          <w:lang w:val="en-US"/>
        </w:rPr>
        <w:t xml:space="preserve"> price</w:t>
      </w:r>
      <w:r w:rsidR="002813D3" w:rsidRPr="00940504">
        <w:rPr>
          <w:lang w:val="en-US"/>
        </w:rPr>
        <w:t xml:space="preserve"> and counter</w:t>
      </w:r>
      <w:r w:rsidR="00F339FF">
        <w:rPr>
          <w:lang w:val="en-US"/>
        </w:rPr>
        <w:t>-</w:t>
      </w:r>
      <w:r w:rsidR="004E55E6">
        <w:rPr>
          <w:lang w:val="en-US"/>
        </w:rPr>
        <w:t>imbalance</w:t>
      </w:r>
      <w:r w:rsidR="002813D3" w:rsidRPr="00940504">
        <w:rPr>
          <w:lang w:val="en-US"/>
        </w:rPr>
        <w:t xml:space="preserve"> price. From the PICASSO type </w:t>
      </w:r>
      <w:r w:rsidR="00994A08" w:rsidRPr="00940504">
        <w:rPr>
          <w:lang w:val="en-US"/>
        </w:rPr>
        <w:t xml:space="preserve">EAN </w:t>
      </w:r>
      <w:r w:rsidR="00F339FF">
        <w:rPr>
          <w:lang w:val="en-US"/>
        </w:rPr>
        <w:t>points</w:t>
      </w:r>
      <w:r w:rsidR="002813D3" w:rsidRPr="00940504">
        <w:rPr>
          <w:lang w:val="en-US"/>
        </w:rPr>
        <w:t xml:space="preserve">, the marginal price aFRR determined by CEPS, which is transmitted on a dedicated </w:t>
      </w:r>
      <w:r w:rsidR="00994A08" w:rsidRPr="00940504">
        <w:rPr>
          <w:lang w:val="en-US"/>
        </w:rPr>
        <w:t xml:space="preserve">EAN </w:t>
      </w:r>
      <w:r w:rsidR="00F339FF">
        <w:rPr>
          <w:lang w:val="en-US"/>
        </w:rPr>
        <w:t>point</w:t>
      </w:r>
      <w:r w:rsidR="002813D3" w:rsidRPr="00940504">
        <w:rPr>
          <w:lang w:val="en-US"/>
        </w:rPr>
        <w:t xml:space="preserve"> specifically designed </w:t>
      </w:r>
      <w:r w:rsidR="00337931" w:rsidRPr="00940504">
        <w:rPr>
          <w:lang w:val="en-US"/>
        </w:rPr>
        <w:t>to transmit this price</w:t>
      </w:r>
      <w:r w:rsidR="001F3B83" w:rsidRPr="00940504">
        <w:rPr>
          <w:lang w:val="en-US"/>
        </w:rPr>
        <w:t xml:space="preserve">, </w:t>
      </w:r>
      <w:r w:rsidR="00F339FF" w:rsidRPr="00940504">
        <w:rPr>
          <w:lang w:val="en-US"/>
        </w:rPr>
        <w:t xml:space="preserve">enters the </w:t>
      </w:r>
      <w:r w:rsidR="00F339FF">
        <w:rPr>
          <w:lang w:val="en-US"/>
        </w:rPr>
        <w:t>imbalance</w:t>
      </w:r>
      <w:r w:rsidR="00F339FF" w:rsidRPr="00940504">
        <w:rPr>
          <w:lang w:val="en-US"/>
        </w:rPr>
        <w:t xml:space="preserve"> settlement,</w:t>
      </w:r>
      <w:r w:rsidR="00F339FF">
        <w:rPr>
          <w:lang w:val="en-US"/>
        </w:rPr>
        <w:t xml:space="preserve"> </w:t>
      </w:r>
      <w:r w:rsidR="001F3B83" w:rsidRPr="00940504">
        <w:rPr>
          <w:lang w:val="en-US"/>
        </w:rPr>
        <w:t xml:space="preserve">not the prices from the individual </w:t>
      </w:r>
      <w:r w:rsidR="004278BA" w:rsidRPr="00940504">
        <w:rPr>
          <w:lang w:val="en-US"/>
        </w:rPr>
        <w:t xml:space="preserve">PICASSO </w:t>
      </w:r>
      <w:r w:rsidR="001F3B83" w:rsidRPr="00940504">
        <w:rPr>
          <w:lang w:val="en-US"/>
        </w:rPr>
        <w:t xml:space="preserve">type EAN </w:t>
      </w:r>
      <w:r w:rsidR="00F339FF">
        <w:rPr>
          <w:lang w:val="en-US"/>
        </w:rPr>
        <w:t>points</w:t>
      </w:r>
      <w:r w:rsidR="004278BA" w:rsidRPr="00940504">
        <w:rPr>
          <w:lang w:val="en-US"/>
        </w:rPr>
        <w:t xml:space="preserve"> </w:t>
      </w:r>
      <w:r w:rsidR="001F3B83" w:rsidRPr="00940504">
        <w:rPr>
          <w:lang w:val="en-US"/>
        </w:rPr>
        <w:t xml:space="preserve">provided by the </w:t>
      </w:r>
      <w:r w:rsidR="00F339FF">
        <w:rPr>
          <w:lang w:val="en-US"/>
        </w:rPr>
        <w:t>B</w:t>
      </w:r>
      <w:r w:rsidR="001F3B83" w:rsidRPr="00940504">
        <w:rPr>
          <w:lang w:val="en-US"/>
        </w:rPr>
        <w:t>E</w:t>
      </w:r>
      <w:r w:rsidR="00337931" w:rsidRPr="00940504">
        <w:rPr>
          <w:lang w:val="en-US"/>
        </w:rPr>
        <w:t>.</w:t>
      </w:r>
    </w:p>
    <w:p w14:paraId="67BEBB44" w14:textId="77777777" w:rsidR="0011764E" w:rsidRPr="00940504" w:rsidRDefault="0011764E" w:rsidP="006B425F">
      <w:pPr>
        <w:jc w:val="both"/>
        <w:rPr>
          <w:lang w:val="en-US"/>
        </w:rPr>
      </w:pPr>
      <w:r w:rsidRPr="00940504">
        <w:rPr>
          <w:lang w:val="en-US"/>
        </w:rPr>
        <w:br w:type="page"/>
      </w:r>
    </w:p>
    <w:p w14:paraId="1B231412" w14:textId="77777777" w:rsidR="004821EB" w:rsidRPr="00940504" w:rsidRDefault="004821EB" w:rsidP="006B425F">
      <w:pPr>
        <w:jc w:val="both"/>
        <w:rPr>
          <w:lang w:val="en-US"/>
        </w:rPr>
      </w:pPr>
    </w:p>
    <w:p w14:paraId="2BC5AD63" w14:textId="77777777" w:rsidR="003929AA" w:rsidRPr="00940504" w:rsidRDefault="00F4026C">
      <w:pPr>
        <w:pStyle w:val="Nadpis2"/>
        <w:numPr>
          <w:ilvl w:val="0"/>
          <w:numId w:val="2"/>
        </w:numPr>
        <w:jc w:val="both"/>
        <w:rPr>
          <w:lang w:val="en-US"/>
        </w:rPr>
      </w:pPr>
      <w:r w:rsidRPr="00940504">
        <w:rPr>
          <w:lang w:val="en-US"/>
        </w:rPr>
        <w:t xml:space="preserve">Examples </w:t>
      </w:r>
    </w:p>
    <w:p w14:paraId="5999874E" w14:textId="2FA0C7AF" w:rsidR="003929AA" w:rsidRPr="00940504" w:rsidRDefault="00F4026C">
      <w:pPr>
        <w:pStyle w:val="Nadpis3"/>
        <w:ind w:left="720"/>
        <w:jc w:val="both"/>
        <w:rPr>
          <w:lang w:val="en-US"/>
        </w:rPr>
      </w:pPr>
      <w:r w:rsidRPr="00940504">
        <w:rPr>
          <w:lang w:val="en-US"/>
        </w:rPr>
        <w:t xml:space="preserve">TERRE+ </w:t>
      </w:r>
      <w:r w:rsidR="005D42D9" w:rsidRPr="00940504">
        <w:rPr>
          <w:lang w:val="en-US"/>
        </w:rPr>
        <w:t xml:space="preserve">MARI (the difference is only in the first character of the profile, where the T character is used for </w:t>
      </w:r>
      <w:r w:rsidR="00307553" w:rsidRPr="00940504">
        <w:rPr>
          <w:lang w:val="en-US"/>
        </w:rPr>
        <w:t xml:space="preserve">TERRE </w:t>
      </w:r>
      <w:r w:rsidR="005D42D9" w:rsidRPr="00940504">
        <w:rPr>
          <w:lang w:val="en-US"/>
        </w:rPr>
        <w:t xml:space="preserve">and either </w:t>
      </w:r>
      <w:r w:rsidR="00F339FF">
        <w:rPr>
          <w:lang w:val="en-US"/>
        </w:rPr>
        <w:t xml:space="preserve">for MARI: </w:t>
      </w:r>
      <w:r w:rsidR="005D42D9" w:rsidRPr="00940504">
        <w:rPr>
          <w:lang w:val="en-US"/>
        </w:rPr>
        <w:t>S - scheduled activation or D - direct activation)</w:t>
      </w:r>
    </w:p>
    <w:p w14:paraId="71E89B17" w14:textId="77777777" w:rsidR="00C22535" w:rsidRPr="00940504" w:rsidRDefault="00C22535" w:rsidP="00C22535">
      <w:pPr>
        <w:rPr>
          <w:lang w:val="en-US"/>
        </w:rPr>
      </w:pPr>
    </w:p>
    <w:p w14:paraId="0392C6CF" w14:textId="6FED0B8F" w:rsidR="003929AA" w:rsidRPr="00940504" w:rsidRDefault="00F339FF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Balancing</w:t>
      </w:r>
      <w:r w:rsidR="00F4026C" w:rsidRPr="00940504">
        <w:rPr>
          <w:rFonts w:ascii="Calibri" w:hAnsi="Calibri" w:cs="Calibri"/>
          <w:b/>
          <w:lang w:val="en-US"/>
        </w:rPr>
        <w:t xml:space="preserve"> energy (</w:t>
      </w:r>
      <w:r>
        <w:rPr>
          <w:rFonts w:ascii="Calibri" w:hAnsi="Calibri" w:cs="Calibri"/>
          <w:b/>
          <w:lang w:val="en-US"/>
        </w:rPr>
        <w:t>B</w:t>
      </w:r>
      <w:r w:rsidR="00F4026C" w:rsidRPr="00940504">
        <w:rPr>
          <w:rFonts w:ascii="Calibri" w:hAnsi="Calibri" w:cs="Calibri"/>
          <w:b/>
          <w:lang w:val="en-US"/>
        </w:rPr>
        <w:t xml:space="preserve">E) activated in </w:t>
      </w:r>
      <w:r>
        <w:rPr>
          <w:rFonts w:ascii="Calibri" w:hAnsi="Calibri" w:cs="Calibri"/>
          <w:b/>
          <w:lang w:val="en-US"/>
        </w:rPr>
        <w:t>Czechia</w:t>
      </w:r>
      <w:r w:rsidR="00F4026C" w:rsidRPr="00940504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 xml:space="preserve">for solution of </w:t>
      </w:r>
      <w:r w:rsidR="00F4026C" w:rsidRPr="00940504">
        <w:rPr>
          <w:rFonts w:ascii="Calibri" w:hAnsi="Calibri" w:cs="Calibri"/>
          <w:b/>
          <w:lang w:val="en-US"/>
        </w:rPr>
        <w:t xml:space="preserve">imbalance states in </w:t>
      </w:r>
      <w:r>
        <w:rPr>
          <w:rFonts w:ascii="Calibri" w:hAnsi="Calibri" w:cs="Calibri"/>
          <w:b/>
          <w:lang w:val="en-US"/>
        </w:rPr>
        <w:t xml:space="preserve">Czechia </w:t>
      </w:r>
      <w:r w:rsidR="00F4026C" w:rsidRPr="00940504">
        <w:rPr>
          <w:rFonts w:ascii="Calibri" w:hAnsi="Calibri" w:cs="Calibri"/>
          <w:b/>
          <w:lang w:val="en-US"/>
        </w:rPr>
        <w:t xml:space="preserve">(3rd </w:t>
      </w:r>
      <w:r>
        <w:rPr>
          <w:rFonts w:ascii="Calibri" w:hAnsi="Calibri" w:cs="Calibri"/>
          <w:b/>
          <w:lang w:val="en-US"/>
        </w:rPr>
        <w:t>character</w:t>
      </w:r>
      <w:r w:rsidR="00F4026C" w:rsidRPr="00940504">
        <w:rPr>
          <w:rFonts w:ascii="Calibri" w:hAnsi="Calibri" w:cs="Calibri"/>
          <w:b/>
          <w:lang w:val="en-US"/>
        </w:rPr>
        <w:t xml:space="preserve"> = 1, 2):</w:t>
      </w:r>
    </w:p>
    <w:p w14:paraId="30E193A5" w14:textId="79689979" w:rsidR="003929AA" w:rsidRPr="00940504" w:rsidRDefault="00F4026C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the quantity of </w:t>
      </w:r>
      <w:r w:rsidR="00F339FF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and the price of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</w:t>
      </w:r>
      <w:r w:rsidR="004278BA" w:rsidRPr="00940504">
        <w:rPr>
          <w:rFonts w:ascii="Calibri" w:hAnsi="Calibri" w:cs="Calibri"/>
          <w:lang w:val="en-US"/>
        </w:rPr>
        <w:t xml:space="preserve">are included </w:t>
      </w:r>
      <w:r w:rsidRPr="00940504">
        <w:rPr>
          <w:rFonts w:ascii="Calibri" w:hAnsi="Calibri" w:cs="Calibri"/>
          <w:lang w:val="en-US"/>
        </w:rPr>
        <w:t xml:space="preserve">in the calculation of the 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and counter-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</w:t>
      </w:r>
      <w:r w:rsidR="00DD2817">
        <w:rPr>
          <w:rFonts w:ascii="Calibri" w:hAnsi="Calibri" w:cs="Calibri"/>
          <w:lang w:val="en-US"/>
        </w:rPr>
        <w:t>settlement</w:t>
      </w:r>
      <w:r w:rsidRPr="00940504">
        <w:rPr>
          <w:rFonts w:ascii="Calibri" w:hAnsi="Calibri" w:cs="Calibri"/>
          <w:lang w:val="en-US"/>
        </w:rPr>
        <w:t xml:space="preserve"> price;</w:t>
      </w:r>
    </w:p>
    <w:p w14:paraId="58E9ED5E" w14:textId="3F5B054F" w:rsidR="003929AA" w:rsidRPr="00940504" w:rsidRDefault="00F4026C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is settled between the market operator and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provider at the actual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price;</w:t>
      </w:r>
    </w:p>
    <w:p w14:paraId="2144137B" w14:textId="02F85C92" w:rsidR="003929AA" w:rsidRPr="00940504" w:rsidRDefault="00F4026C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in the CS OTE system is reported on the virtual EAN </w:t>
      </w:r>
      <w:r w:rsidR="00DD2817">
        <w:rPr>
          <w:rFonts w:ascii="Calibri" w:hAnsi="Calibri" w:cs="Calibri"/>
          <w:lang w:val="en-US"/>
        </w:rPr>
        <w:t xml:space="preserve">point </w:t>
      </w:r>
      <w:r w:rsidRPr="00940504">
        <w:rPr>
          <w:rFonts w:ascii="Calibri" w:hAnsi="Calibri" w:cs="Calibri"/>
          <w:lang w:val="en-US"/>
        </w:rPr>
        <w:t xml:space="preserve">of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provider as follows (e.g. for the first quarter hour):</w:t>
      </w:r>
    </w:p>
    <w:p w14:paraId="4BAC117A" w14:textId="212B35D8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TV1 - the amount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quarter-hour;</w:t>
      </w:r>
    </w:p>
    <w:p w14:paraId="23274D37" w14:textId="29C76132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TV2 - the amount of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quarter-hour;</w:t>
      </w:r>
    </w:p>
    <w:p w14:paraId="35C9ECEE" w14:textId="543089FA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TP1 - unit price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quarter-hour;</w:t>
      </w:r>
    </w:p>
    <w:p w14:paraId="1E9337E9" w14:textId="1AE6E20F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TP2 - unit price of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quarter-hour.</w:t>
      </w:r>
    </w:p>
    <w:p w14:paraId="10D4AA22" w14:textId="77777777" w:rsidR="003929AA" w:rsidRPr="00940504" w:rsidRDefault="00F4026C">
      <w:pPr>
        <w:spacing w:before="120" w:after="0"/>
        <w:ind w:left="425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Example: entity 1 provides 10 MWh via TERRE for 100 CZK/MWh (in the 1st quarter hour)</w:t>
      </w:r>
    </w:p>
    <w:p w14:paraId="498F8E94" w14:textId="1DD3B74E" w:rsidR="003929AA" w:rsidRPr="00940504" w:rsidRDefault="00DD2817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EAN of</w:t>
      </w:r>
      <w:r w:rsidR="00F4026C" w:rsidRPr="0094050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entity</w:t>
      </w:r>
      <w:r w:rsidR="00F4026C" w:rsidRPr="00940504">
        <w:rPr>
          <w:rFonts w:ascii="Calibri" w:hAnsi="Calibri" w:cs="Calibri"/>
          <w:lang w:val="en-US"/>
        </w:rPr>
        <w:t xml:space="preserve"> 1 </w:t>
      </w:r>
    </w:p>
    <w:p w14:paraId="235D8E65" w14:textId="77777777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10 </w:t>
      </w:r>
      <w:r w:rsidR="000511A2" w:rsidRPr="00940504">
        <w:rPr>
          <w:rFonts w:ascii="Calibri" w:hAnsi="Calibri" w:cs="Calibri"/>
          <w:lang w:val="en-US"/>
        </w:rPr>
        <w:t xml:space="preserve">000 </w:t>
      </w:r>
      <w:r w:rsidRPr="00940504">
        <w:rPr>
          <w:rFonts w:ascii="Calibri" w:hAnsi="Calibri" w:cs="Calibri"/>
          <w:lang w:val="en-US"/>
        </w:rPr>
        <w:t xml:space="preserve">kWh will be reported on the TV1 profile </w:t>
      </w:r>
      <w:r w:rsidR="001F3B83" w:rsidRPr="00940504">
        <w:rPr>
          <w:rFonts w:ascii="Calibri" w:hAnsi="Calibri" w:cs="Calibri"/>
          <w:lang w:val="en-US"/>
        </w:rPr>
        <w:t>in the interval 0:00-0:15</w:t>
      </w:r>
      <w:r w:rsidRPr="00940504">
        <w:rPr>
          <w:rFonts w:ascii="Calibri" w:hAnsi="Calibri" w:cs="Calibri"/>
          <w:lang w:val="en-US"/>
        </w:rPr>
        <w:t>;</w:t>
      </w:r>
    </w:p>
    <w:p w14:paraId="572C8F3C" w14:textId="77777777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100 CZK/MWh will be reported on the TP1 profile </w:t>
      </w:r>
      <w:r w:rsidR="001F3B83" w:rsidRPr="00940504">
        <w:rPr>
          <w:rFonts w:ascii="Calibri" w:hAnsi="Calibri" w:cs="Calibri"/>
          <w:lang w:val="en-US"/>
        </w:rPr>
        <w:t>in the interval 0:00-0:15</w:t>
      </w:r>
      <w:r w:rsidRPr="00940504">
        <w:rPr>
          <w:rFonts w:ascii="Calibri" w:hAnsi="Calibri" w:cs="Calibri"/>
          <w:lang w:val="en-US"/>
        </w:rPr>
        <w:t>.</w:t>
      </w:r>
    </w:p>
    <w:p w14:paraId="637FC2C4" w14:textId="77777777" w:rsidR="003D1760" w:rsidRPr="00940504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</w:p>
    <w:p w14:paraId="375FCE77" w14:textId="0F7B4B40" w:rsidR="003929AA" w:rsidRPr="00940504" w:rsidRDefault="00DD2817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Balancing</w:t>
      </w:r>
      <w:r w:rsidR="00F4026C" w:rsidRPr="00940504">
        <w:rPr>
          <w:rFonts w:ascii="Calibri" w:hAnsi="Calibri" w:cs="Calibri"/>
          <w:b/>
          <w:lang w:val="en-US"/>
        </w:rPr>
        <w:t xml:space="preserve"> energy caused by activating </w:t>
      </w:r>
      <w:r>
        <w:rPr>
          <w:rFonts w:ascii="Calibri" w:hAnsi="Calibri" w:cs="Calibri"/>
          <w:b/>
          <w:lang w:val="en-US"/>
        </w:rPr>
        <w:t>bid via</w:t>
      </w:r>
      <w:r w:rsidR="00F4026C" w:rsidRPr="00940504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 xml:space="preserve">the </w:t>
      </w:r>
      <w:r w:rsidR="00F4026C" w:rsidRPr="00940504">
        <w:rPr>
          <w:rFonts w:ascii="Calibri" w:hAnsi="Calibri" w:cs="Calibri"/>
          <w:b/>
          <w:lang w:val="en-US"/>
        </w:rPr>
        <w:t xml:space="preserve">TERRE </w:t>
      </w:r>
      <w:r>
        <w:rPr>
          <w:rFonts w:ascii="Calibri" w:hAnsi="Calibri" w:cs="Calibri"/>
          <w:b/>
          <w:lang w:val="en-US"/>
        </w:rPr>
        <w:t>platform</w:t>
      </w:r>
      <w:r w:rsidR="00F4026C" w:rsidRPr="00940504">
        <w:rPr>
          <w:rFonts w:ascii="Calibri" w:hAnsi="Calibri" w:cs="Calibri"/>
          <w:b/>
          <w:lang w:val="en-US"/>
        </w:rPr>
        <w:t xml:space="preserve"> for the next quarter hour (3rd character = 5, 6):</w:t>
      </w:r>
    </w:p>
    <w:p w14:paraId="71808F55" w14:textId="4A858E8D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the quantity of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included in </w:t>
      </w:r>
      <w:r w:rsidRPr="00940504">
        <w:rPr>
          <w:rFonts w:ascii="Calibri" w:hAnsi="Calibri"/>
          <w:color w:val="000000"/>
          <w:highlight w:val="white"/>
          <w:lang w:val="en-US"/>
        </w:rPr>
        <w:t xml:space="preserve">the </w:t>
      </w:r>
      <w:r w:rsidR="004E55E6">
        <w:rPr>
          <w:rFonts w:ascii="Calibri" w:hAnsi="Calibri"/>
          <w:color w:val="000000"/>
          <w:highlight w:val="white"/>
          <w:lang w:val="en-US"/>
        </w:rPr>
        <w:t>imbalance</w:t>
      </w:r>
      <w:r w:rsidRPr="00940504">
        <w:rPr>
          <w:rFonts w:ascii="Calibri" w:hAnsi="Calibri"/>
          <w:color w:val="000000"/>
          <w:highlight w:val="white"/>
          <w:lang w:val="en-US"/>
        </w:rPr>
        <w:t xml:space="preserve"> evaluation and settlement system</w:t>
      </w:r>
      <w:r w:rsidRPr="00940504">
        <w:rPr>
          <w:rFonts w:ascii="Calibri" w:hAnsi="Calibri" w:cs="Calibri"/>
          <w:lang w:val="en-US"/>
        </w:rPr>
        <w:t xml:space="preserve">, the price of this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transmitted, however, it is not taken into account for the calculation of the 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and counter-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settlement price;</w:t>
      </w:r>
    </w:p>
    <w:p w14:paraId="6C07A37E" w14:textId="397E31FA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is settled between the market operator and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provider at the actual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price;</w:t>
      </w:r>
    </w:p>
    <w:p w14:paraId="7C17FD19" w14:textId="22BA78EF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in the CS OTE system is reported on the virtual EAN </w:t>
      </w:r>
      <w:r w:rsidR="00DD2817">
        <w:rPr>
          <w:rFonts w:ascii="Calibri" w:hAnsi="Calibri" w:cs="Calibri"/>
          <w:lang w:val="en-US"/>
        </w:rPr>
        <w:t>point</w:t>
      </w:r>
      <w:r w:rsidRPr="00940504">
        <w:rPr>
          <w:rFonts w:ascii="Calibri" w:hAnsi="Calibri" w:cs="Calibri"/>
          <w:lang w:val="en-US"/>
        </w:rPr>
        <w:t xml:space="preserve"> of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provider as follows (e.g. for the </w:t>
      </w:r>
      <w:r w:rsidR="000511A2" w:rsidRPr="00940504">
        <w:rPr>
          <w:rFonts w:ascii="Calibri" w:hAnsi="Calibri" w:cs="Calibri"/>
          <w:lang w:val="en-US"/>
        </w:rPr>
        <w:t xml:space="preserve">1st </w:t>
      </w:r>
      <w:r w:rsidRPr="00940504">
        <w:rPr>
          <w:rFonts w:ascii="Calibri" w:hAnsi="Calibri" w:cs="Calibri"/>
          <w:lang w:val="en-US"/>
        </w:rPr>
        <w:t xml:space="preserve">quarter-hour preceding the activation </w:t>
      </w:r>
      <w:r w:rsidR="000511A2" w:rsidRPr="00940504">
        <w:rPr>
          <w:rFonts w:ascii="Calibri" w:hAnsi="Calibri" w:cs="Calibri"/>
          <w:lang w:val="en-US"/>
        </w:rPr>
        <w:t xml:space="preserve">in the 2nd </w:t>
      </w:r>
      <w:r w:rsidRPr="00940504">
        <w:rPr>
          <w:rFonts w:ascii="Calibri" w:hAnsi="Calibri" w:cs="Calibri"/>
          <w:lang w:val="en-US"/>
        </w:rPr>
        <w:t>quarter-hour):</w:t>
      </w:r>
    </w:p>
    <w:p w14:paraId="3F55B0AD" w14:textId="2B276FE8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TV5 - the amount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quarter-hour;</w:t>
      </w:r>
    </w:p>
    <w:p w14:paraId="5567BBC8" w14:textId="5AF1F87F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TV6 - the amount of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quarter-hour;</w:t>
      </w:r>
    </w:p>
    <w:p w14:paraId="079BC6D2" w14:textId="45A558F7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TP5 - unit price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quarter-hour;</w:t>
      </w:r>
    </w:p>
    <w:p w14:paraId="7E270D9F" w14:textId="4D286494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TP6 - the unit price of the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quarter-hour.</w:t>
      </w:r>
    </w:p>
    <w:p w14:paraId="3B429AD4" w14:textId="77777777" w:rsidR="003D1760" w:rsidRPr="00940504" w:rsidRDefault="003D1760" w:rsidP="006B425F">
      <w:pPr>
        <w:spacing w:after="0"/>
        <w:ind w:left="851"/>
        <w:jc w:val="both"/>
        <w:rPr>
          <w:rFonts w:ascii="Calibri" w:hAnsi="Calibri" w:cs="Calibri"/>
          <w:lang w:val="en-US"/>
        </w:rPr>
      </w:pPr>
    </w:p>
    <w:p w14:paraId="053A797B" w14:textId="77777777" w:rsidR="003929AA" w:rsidRPr="00940504" w:rsidRDefault="00F4026C">
      <w:pPr>
        <w:spacing w:after="0"/>
        <w:ind w:firstLine="426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Example: will be part of the comprehensive example below - see example (i) below.</w:t>
      </w:r>
    </w:p>
    <w:p w14:paraId="2F531B95" w14:textId="77777777" w:rsidR="003D1760" w:rsidRPr="00940504" w:rsidRDefault="003D1760" w:rsidP="006B425F">
      <w:pPr>
        <w:spacing w:after="0"/>
        <w:ind w:left="1440"/>
        <w:jc w:val="both"/>
        <w:rPr>
          <w:rFonts w:ascii="Calibri" w:hAnsi="Calibri" w:cs="Calibri"/>
          <w:lang w:val="en-US"/>
        </w:rPr>
      </w:pPr>
    </w:p>
    <w:p w14:paraId="2255E9F0" w14:textId="62168605" w:rsidR="003929AA" w:rsidRPr="00940504" w:rsidRDefault="00DD281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Balanci</w:t>
      </w:r>
      <w:r w:rsidR="00F4026C" w:rsidRPr="00940504">
        <w:rPr>
          <w:rFonts w:ascii="Calibri" w:hAnsi="Calibri" w:cs="Calibri"/>
          <w:b/>
          <w:lang w:val="en-US"/>
        </w:rPr>
        <w:t xml:space="preserve">ng energy caused by deactivation of the </w:t>
      </w:r>
      <w:r>
        <w:rPr>
          <w:rFonts w:ascii="Calibri" w:hAnsi="Calibri" w:cs="Calibri"/>
          <w:b/>
          <w:lang w:val="en-US"/>
        </w:rPr>
        <w:t xml:space="preserve">bid via the </w:t>
      </w:r>
      <w:r w:rsidR="00F4026C" w:rsidRPr="00940504">
        <w:rPr>
          <w:rFonts w:ascii="Calibri" w:hAnsi="Calibri" w:cs="Calibri"/>
          <w:b/>
          <w:lang w:val="en-US"/>
        </w:rPr>
        <w:t>TERRE</w:t>
      </w:r>
      <w:r>
        <w:rPr>
          <w:rFonts w:ascii="Calibri" w:hAnsi="Calibri" w:cs="Calibri"/>
          <w:b/>
          <w:lang w:val="en-US"/>
        </w:rPr>
        <w:t xml:space="preserve"> platform</w:t>
      </w:r>
      <w:r w:rsidR="00F4026C" w:rsidRPr="00940504">
        <w:rPr>
          <w:rFonts w:ascii="Calibri" w:hAnsi="Calibri" w:cs="Calibri"/>
          <w:b/>
          <w:lang w:val="en-US"/>
        </w:rPr>
        <w:t xml:space="preserve"> from the previous quarter-hour (</w:t>
      </w:r>
      <w:r w:rsidR="000511A2" w:rsidRPr="00940504">
        <w:rPr>
          <w:rFonts w:ascii="Calibri" w:hAnsi="Calibri" w:cs="Calibri"/>
          <w:b/>
          <w:lang w:val="en-US"/>
        </w:rPr>
        <w:t xml:space="preserve">3rd </w:t>
      </w:r>
      <w:r w:rsidR="00F4026C" w:rsidRPr="00940504">
        <w:rPr>
          <w:rFonts w:ascii="Calibri" w:hAnsi="Calibri" w:cs="Calibri"/>
          <w:b/>
          <w:lang w:val="en-US"/>
        </w:rPr>
        <w:t>character = 7, 8):</w:t>
      </w:r>
    </w:p>
    <w:p w14:paraId="54FC689D" w14:textId="63547B82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the quantity of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included in </w:t>
      </w:r>
      <w:r w:rsidRPr="00940504">
        <w:rPr>
          <w:rFonts w:ascii="Calibri" w:hAnsi="Calibri"/>
          <w:color w:val="000000"/>
          <w:highlight w:val="white"/>
          <w:lang w:val="en-US"/>
        </w:rPr>
        <w:t xml:space="preserve">the </w:t>
      </w:r>
      <w:r w:rsidR="004E55E6">
        <w:rPr>
          <w:rFonts w:ascii="Calibri" w:hAnsi="Calibri"/>
          <w:color w:val="000000"/>
          <w:highlight w:val="white"/>
          <w:lang w:val="en-US"/>
        </w:rPr>
        <w:t>imbalance</w:t>
      </w:r>
      <w:r w:rsidRPr="00940504">
        <w:rPr>
          <w:rFonts w:ascii="Calibri" w:hAnsi="Calibri"/>
          <w:color w:val="000000"/>
          <w:highlight w:val="white"/>
          <w:lang w:val="en-US"/>
        </w:rPr>
        <w:t xml:space="preserve"> evaluation and settlement system</w:t>
      </w:r>
      <w:r w:rsidRPr="00940504">
        <w:rPr>
          <w:rFonts w:ascii="Calibri" w:hAnsi="Calibri" w:cs="Calibri"/>
          <w:lang w:val="en-US"/>
        </w:rPr>
        <w:t xml:space="preserve">, the price of this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transmitted, however, it is not taken into account for the calculation of the 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and counter-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settlement price;</w:t>
      </w:r>
    </w:p>
    <w:p w14:paraId="7246335D" w14:textId="4CED7390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is settled between the market operator and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provider at the actual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price;</w:t>
      </w:r>
    </w:p>
    <w:p w14:paraId="0A2D58F2" w14:textId="5B6CEFA1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lastRenderedPageBreak/>
        <w:t xml:space="preserve">in the CS OTE system is reported on the virtual EAN </w:t>
      </w:r>
      <w:r w:rsidR="00DD2817">
        <w:rPr>
          <w:rFonts w:ascii="Calibri" w:hAnsi="Calibri" w:cs="Calibri"/>
          <w:lang w:val="en-US"/>
        </w:rPr>
        <w:t xml:space="preserve">point </w:t>
      </w:r>
      <w:r w:rsidRPr="00940504">
        <w:rPr>
          <w:rFonts w:ascii="Calibri" w:hAnsi="Calibri" w:cs="Calibri"/>
          <w:lang w:val="en-US"/>
        </w:rPr>
        <w:t xml:space="preserve">of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provider as follows (e.g. for the quarter-hour following the end of the activation):</w:t>
      </w:r>
    </w:p>
    <w:p w14:paraId="08B9ED98" w14:textId="7AC71F60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TV7 - amount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 hour;</w:t>
      </w:r>
    </w:p>
    <w:p w14:paraId="5FDCA41A" w14:textId="0AF84128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TV8 - the amount of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quarter-hour;</w:t>
      </w:r>
    </w:p>
    <w:p w14:paraId="2E906904" w14:textId="1E36CE5A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TP7 - unit price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quarter-hour;</w:t>
      </w:r>
    </w:p>
    <w:p w14:paraId="751983AF" w14:textId="3CE21D76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TP8 - the unit price of the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quarter-hour.</w:t>
      </w:r>
    </w:p>
    <w:p w14:paraId="6EDDCA7B" w14:textId="77777777" w:rsidR="003D1760" w:rsidRPr="00940504" w:rsidRDefault="003D1760" w:rsidP="006B425F">
      <w:pPr>
        <w:spacing w:after="0"/>
        <w:ind w:left="851"/>
        <w:jc w:val="both"/>
        <w:rPr>
          <w:rFonts w:ascii="Calibri" w:hAnsi="Calibri" w:cs="Calibri"/>
          <w:lang w:val="en-US"/>
        </w:rPr>
      </w:pPr>
    </w:p>
    <w:p w14:paraId="4DADBEE7" w14:textId="77777777" w:rsidR="003929AA" w:rsidRPr="00940504" w:rsidRDefault="00F4026C">
      <w:pPr>
        <w:spacing w:after="0"/>
        <w:ind w:left="491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Example: will be part of the comprehensive example below - see example (i) below.</w:t>
      </w:r>
    </w:p>
    <w:p w14:paraId="1D818541" w14:textId="1E7C1171" w:rsidR="003929AA" w:rsidRPr="00940504" w:rsidRDefault="00DD2817">
      <w:pPr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Balancing</w:t>
      </w:r>
      <w:r w:rsidR="00F4026C" w:rsidRPr="00940504">
        <w:rPr>
          <w:rFonts w:ascii="Calibri" w:hAnsi="Calibri" w:cs="Calibri"/>
          <w:b/>
          <w:lang w:val="en-US"/>
        </w:rPr>
        <w:t xml:space="preserve"> energy activated via the TERRE platform that was not delivered by the </w:t>
      </w:r>
      <w:r>
        <w:rPr>
          <w:rFonts w:ascii="Calibri" w:hAnsi="Calibri" w:cs="Calibri"/>
          <w:b/>
          <w:lang w:val="en-US"/>
        </w:rPr>
        <w:t>B</w:t>
      </w:r>
      <w:r w:rsidR="00F4026C" w:rsidRPr="00940504">
        <w:rPr>
          <w:rFonts w:ascii="Calibri" w:hAnsi="Calibri" w:cs="Calibri"/>
          <w:b/>
          <w:lang w:val="en-US"/>
        </w:rPr>
        <w:t xml:space="preserve">E provider in the required quality </w:t>
      </w:r>
      <w:r w:rsidR="000511A2" w:rsidRPr="00940504">
        <w:rPr>
          <w:rFonts w:ascii="Calibri" w:hAnsi="Calibri" w:cs="Calibri"/>
          <w:b/>
          <w:lang w:val="en-US"/>
        </w:rPr>
        <w:t xml:space="preserve">(3rd </w:t>
      </w:r>
      <w:r w:rsidR="00F4026C" w:rsidRPr="00940504">
        <w:rPr>
          <w:rFonts w:ascii="Calibri" w:hAnsi="Calibri" w:cs="Calibri"/>
          <w:b/>
          <w:lang w:val="en-US"/>
        </w:rPr>
        <w:t>character = 9, 0):</w:t>
      </w:r>
    </w:p>
    <w:p w14:paraId="0CE1C038" w14:textId="021962C1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the quantity of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included in the 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evaluation and settlement system, the price of this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is transmitted, however, it is not taken into account for the calculation of the 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and counter-</w:t>
      </w:r>
      <w:r w:rsidR="004E55E6">
        <w:rPr>
          <w:rFonts w:ascii="Calibri" w:hAnsi="Calibri" w:cs="Calibri"/>
          <w:lang w:val="en-US"/>
        </w:rPr>
        <w:t>imbalance</w:t>
      </w:r>
      <w:r w:rsidRPr="00940504">
        <w:rPr>
          <w:rFonts w:ascii="Calibri" w:hAnsi="Calibri" w:cs="Calibri"/>
          <w:lang w:val="en-US"/>
        </w:rPr>
        <w:t xml:space="preserve"> settlement price;</w:t>
      </w:r>
    </w:p>
    <w:p w14:paraId="4B97E143" w14:textId="7A044683" w:rsidR="003929AA" w:rsidRPr="00940504" w:rsidRDefault="00F4026C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in the CS OTE system is reported on the virtual EAN </w:t>
      </w:r>
      <w:r w:rsidR="00DD2817">
        <w:rPr>
          <w:rFonts w:ascii="Calibri" w:hAnsi="Calibri" w:cs="Calibri"/>
          <w:lang w:val="en-US"/>
        </w:rPr>
        <w:t xml:space="preserve">point </w:t>
      </w:r>
      <w:r w:rsidRPr="00940504">
        <w:rPr>
          <w:rFonts w:ascii="Calibri" w:hAnsi="Calibri" w:cs="Calibri"/>
          <w:lang w:val="en-US"/>
        </w:rPr>
        <w:t xml:space="preserve">of the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provider as follows:</w:t>
      </w:r>
    </w:p>
    <w:p w14:paraId="1CA994AB" w14:textId="7E815EA4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TV9 - the amount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from TERRE for a given </w:t>
      </w:r>
      <w:r w:rsidR="001F3B83" w:rsidRPr="00940504">
        <w:rPr>
          <w:rFonts w:ascii="Calibri" w:hAnsi="Calibri" w:cs="Calibri"/>
          <w:lang w:val="en-US"/>
        </w:rPr>
        <w:t>quarter-hour</w:t>
      </w:r>
      <w:r w:rsidRPr="00940504">
        <w:rPr>
          <w:rFonts w:ascii="Calibri" w:hAnsi="Calibri" w:cs="Calibri"/>
          <w:lang w:val="en-US"/>
        </w:rPr>
        <w:t>;</w:t>
      </w:r>
    </w:p>
    <w:p w14:paraId="30B928FB" w14:textId="0598C871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TV0 - the amount of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from TERRE for a given </w:t>
      </w:r>
      <w:r w:rsidR="001F3B83" w:rsidRPr="00940504">
        <w:rPr>
          <w:rFonts w:ascii="Calibri" w:hAnsi="Calibri" w:cs="Calibri"/>
          <w:lang w:val="en-US"/>
        </w:rPr>
        <w:t>quarter-hour</w:t>
      </w:r>
      <w:r w:rsidRPr="00940504">
        <w:rPr>
          <w:rFonts w:ascii="Calibri" w:hAnsi="Calibri" w:cs="Calibri"/>
          <w:lang w:val="en-US"/>
        </w:rPr>
        <w:t>;</w:t>
      </w:r>
    </w:p>
    <w:p w14:paraId="4A65FC40" w14:textId="43689065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TP9 - unit price of positive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the given quarter-hour;</w:t>
      </w:r>
    </w:p>
    <w:p w14:paraId="458AFFA3" w14:textId="2D53159A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TP0 - the unit price of the negative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from TERRE for a given quarter-hour.</w:t>
      </w:r>
    </w:p>
    <w:p w14:paraId="007DE8A2" w14:textId="77777777" w:rsidR="005A7FEE" w:rsidRPr="00940504" w:rsidRDefault="005A7FEE" w:rsidP="006B425F">
      <w:pPr>
        <w:spacing w:after="0"/>
        <w:ind w:left="426"/>
        <w:jc w:val="both"/>
        <w:rPr>
          <w:rFonts w:ascii="Calibri" w:hAnsi="Calibri" w:cs="Calibri"/>
          <w:lang w:val="en-US"/>
        </w:rPr>
      </w:pPr>
    </w:p>
    <w:p w14:paraId="79524F36" w14:textId="795A581F" w:rsidR="003929AA" w:rsidRPr="00940504" w:rsidRDefault="00F4026C">
      <w:pPr>
        <w:spacing w:after="0"/>
        <w:ind w:left="426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Example : Entity 1 sells 10 MWh </w:t>
      </w:r>
      <w:r w:rsidR="00DD2817">
        <w:rPr>
          <w:rFonts w:ascii="Calibri" w:hAnsi="Calibri" w:cs="Calibri"/>
          <w:lang w:val="en-US"/>
        </w:rPr>
        <w:t>via</w:t>
      </w:r>
      <w:r w:rsidRPr="00940504">
        <w:rPr>
          <w:rFonts w:ascii="Calibri" w:hAnsi="Calibri" w:cs="Calibri"/>
          <w:lang w:val="en-US"/>
        </w:rPr>
        <w:t xml:space="preserve"> TERRE for 100 CZK/MWh </w:t>
      </w:r>
      <w:r w:rsidR="00DD2817">
        <w:rPr>
          <w:rFonts w:ascii="Calibri" w:hAnsi="Calibri" w:cs="Calibri"/>
          <w:lang w:val="en-US"/>
        </w:rPr>
        <w:t xml:space="preserve">for solution of </w:t>
      </w:r>
      <w:r w:rsidRPr="00940504">
        <w:rPr>
          <w:rFonts w:ascii="Calibri" w:hAnsi="Calibri" w:cs="Calibri"/>
          <w:lang w:val="en-US"/>
        </w:rPr>
        <w:t xml:space="preserve">imbalance </w:t>
      </w:r>
      <w:r w:rsidR="00DD2817">
        <w:rPr>
          <w:rFonts w:ascii="Calibri" w:hAnsi="Calibri" w:cs="Calibri"/>
          <w:lang w:val="en-US"/>
        </w:rPr>
        <w:t>state in Czechia</w:t>
      </w:r>
      <w:r w:rsidRPr="00940504">
        <w:rPr>
          <w:rFonts w:ascii="Calibri" w:hAnsi="Calibri" w:cs="Calibri"/>
          <w:lang w:val="en-US"/>
        </w:rPr>
        <w:t xml:space="preserve">, but fails to deliver this </w:t>
      </w:r>
      <w:r w:rsidR="00DD2817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 in the required quality:</w:t>
      </w:r>
    </w:p>
    <w:p w14:paraId="65B5CBF1" w14:textId="1C44335A" w:rsidR="003929AA" w:rsidRPr="00940504" w:rsidRDefault="00AE3815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EAN</w:t>
      </w:r>
      <w:r w:rsidR="00F4026C" w:rsidRPr="00940504">
        <w:rPr>
          <w:rFonts w:ascii="Calibri" w:hAnsi="Calibri" w:cs="Calibri"/>
          <w:lang w:val="en-US"/>
        </w:rPr>
        <w:t xml:space="preserve"> of entity 1 ("EAN</w:t>
      </w:r>
      <w:r>
        <w:rPr>
          <w:rFonts w:ascii="Calibri" w:hAnsi="Calibri" w:cs="Calibri"/>
          <w:lang w:val="en-US"/>
        </w:rPr>
        <w:t xml:space="preserve"> point</w:t>
      </w:r>
      <w:r w:rsidR="00F4026C" w:rsidRPr="00940504">
        <w:rPr>
          <w:rFonts w:ascii="Calibri" w:hAnsi="Calibri" w:cs="Calibri"/>
          <w:lang w:val="en-US"/>
        </w:rPr>
        <w:t xml:space="preserve"> of the </w:t>
      </w:r>
      <w:r>
        <w:rPr>
          <w:rFonts w:ascii="Calibri" w:hAnsi="Calibri" w:cs="Calibri"/>
          <w:lang w:val="en-US"/>
        </w:rPr>
        <w:t>B</w:t>
      </w:r>
      <w:r w:rsidR="00F4026C" w:rsidRPr="00940504">
        <w:rPr>
          <w:rFonts w:ascii="Calibri" w:hAnsi="Calibri" w:cs="Calibri"/>
          <w:lang w:val="en-US"/>
        </w:rPr>
        <w:t xml:space="preserve">E provider") </w:t>
      </w:r>
    </w:p>
    <w:p w14:paraId="0A5DD590" w14:textId="7F72CDA5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 value of 10 MWh will be reported on the TV9 profile; </w:t>
      </w:r>
    </w:p>
    <w:p w14:paraId="4CD6B633" w14:textId="593CEC1B" w:rsidR="003929AA" w:rsidRPr="00940504" w:rsidRDefault="00F4026C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 value 0 CZK/MWh will be reported on the TP9 profile.</w:t>
      </w:r>
    </w:p>
    <w:p w14:paraId="6418A7E7" w14:textId="77777777" w:rsidR="003D1760" w:rsidRPr="00940504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</w:p>
    <w:p w14:paraId="20EE3FE8" w14:textId="69CBCF1E" w:rsidR="003929AA" w:rsidRPr="00940504" w:rsidRDefault="00F4026C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/>
          <w:lang w:val="en-US"/>
        </w:rPr>
      </w:pPr>
      <w:r w:rsidRPr="00940504">
        <w:rPr>
          <w:rFonts w:ascii="Calibri" w:hAnsi="Calibri" w:cs="Calibri"/>
          <w:b/>
          <w:lang w:val="en-US"/>
        </w:rPr>
        <w:t xml:space="preserve">Comprehensive example of providing </w:t>
      </w:r>
      <w:r w:rsidR="00AE3815">
        <w:rPr>
          <w:rFonts w:ascii="Calibri" w:hAnsi="Calibri" w:cs="Calibri"/>
          <w:b/>
          <w:lang w:val="en-US"/>
        </w:rPr>
        <w:t>B</w:t>
      </w:r>
      <w:r w:rsidRPr="00940504">
        <w:rPr>
          <w:rFonts w:ascii="Calibri" w:hAnsi="Calibri" w:cs="Calibri"/>
          <w:b/>
          <w:lang w:val="en-US"/>
        </w:rPr>
        <w:t xml:space="preserve">E </w:t>
      </w:r>
      <w:r w:rsidR="00AE3815">
        <w:rPr>
          <w:rFonts w:ascii="Calibri" w:hAnsi="Calibri" w:cs="Calibri"/>
          <w:b/>
          <w:lang w:val="en-US"/>
        </w:rPr>
        <w:t xml:space="preserve">for solution of imbalance state </w:t>
      </w:r>
      <w:r w:rsidRPr="00940504">
        <w:rPr>
          <w:rFonts w:ascii="Calibri" w:hAnsi="Calibri" w:cs="Calibri"/>
          <w:b/>
          <w:lang w:val="en-US"/>
        </w:rPr>
        <w:t>in Czech</w:t>
      </w:r>
      <w:r w:rsidR="00AE3815">
        <w:rPr>
          <w:rFonts w:ascii="Calibri" w:hAnsi="Calibri" w:cs="Calibri"/>
          <w:b/>
          <w:lang w:val="en-US"/>
        </w:rPr>
        <w:t>ia</w:t>
      </w:r>
      <w:r w:rsidRPr="00940504">
        <w:rPr>
          <w:rFonts w:ascii="Calibri" w:hAnsi="Calibri" w:cs="Calibri"/>
          <w:b/>
          <w:lang w:val="en-US"/>
        </w:rPr>
        <w:t xml:space="preserve"> using overlaps (ramp-up before activation or ramp-down after deactivation)</w:t>
      </w:r>
    </w:p>
    <w:p w14:paraId="6F166BD7" w14:textId="791CB1D5" w:rsidR="003929AA" w:rsidRPr="00940504" w:rsidRDefault="00F4026C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b/>
          <w:lang w:val="en-US"/>
        </w:rPr>
      </w:pPr>
      <w:r w:rsidRPr="00940504">
        <w:rPr>
          <w:rFonts w:ascii="Calibri" w:hAnsi="Calibri" w:cs="Calibri"/>
          <w:lang w:val="en-US"/>
        </w:rPr>
        <w:t xml:space="preserve">Example: entity 1 will provide 20 MWh in the Czech Republic via TERRE for 200 CZK/MWh in the 2nd quarter hour. This contract includes a ramp-up to the demand value in the previous quarter-hour of 4 MWh and a run-up in the following quarter-hour of 6 MWh. We assume that the </w:t>
      </w:r>
      <w:r w:rsidR="00AE3815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 price in the ramp-up and run-up is the same (i.e. 200 CZK/MWh) as for the activation of a regular </w:t>
      </w:r>
      <w:r w:rsidR="00AE3815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>E.</w:t>
      </w:r>
    </w:p>
    <w:p w14:paraId="4A33F8A9" w14:textId="77777777" w:rsidR="003D1760" w:rsidRPr="00940504" w:rsidRDefault="003D1760" w:rsidP="006B425F">
      <w:pPr>
        <w:spacing w:after="0"/>
        <w:ind w:left="426"/>
        <w:jc w:val="both"/>
        <w:rPr>
          <w:rFonts w:ascii="Calibri" w:hAnsi="Calibri" w:cs="Calibri"/>
          <w:b/>
          <w:lang w:val="en-US"/>
        </w:rPr>
      </w:pPr>
    </w:p>
    <w:p w14:paraId="46D7586A" w14:textId="6007A55B" w:rsidR="003929AA" w:rsidRPr="00940504" w:rsidRDefault="00AE3815" w:rsidP="00AE3815">
      <w:pPr>
        <w:spacing w:after="0" w:line="276" w:lineRule="auto"/>
        <w:ind w:firstLine="426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EAN point</w:t>
      </w:r>
      <w:r w:rsidR="00F4026C" w:rsidRPr="00940504">
        <w:rPr>
          <w:rFonts w:ascii="Calibri" w:hAnsi="Calibri" w:cs="Calibri"/>
          <w:lang w:val="en-US"/>
        </w:rPr>
        <w:t xml:space="preserve"> of entity 1 ("EAN </w:t>
      </w:r>
      <w:r>
        <w:rPr>
          <w:rFonts w:ascii="Calibri" w:hAnsi="Calibri" w:cs="Calibri"/>
          <w:lang w:val="en-US"/>
        </w:rPr>
        <w:t>point</w:t>
      </w:r>
      <w:r w:rsidR="00F4026C" w:rsidRPr="00940504">
        <w:rPr>
          <w:rFonts w:ascii="Calibri" w:hAnsi="Calibri" w:cs="Calibri"/>
          <w:lang w:val="en-US"/>
        </w:rPr>
        <w:t xml:space="preserve"> of the </w:t>
      </w:r>
      <w:r>
        <w:rPr>
          <w:rFonts w:ascii="Calibri" w:hAnsi="Calibri" w:cs="Calibri"/>
          <w:lang w:val="en-US"/>
        </w:rPr>
        <w:t>B</w:t>
      </w:r>
      <w:r w:rsidR="00F4026C" w:rsidRPr="00940504">
        <w:rPr>
          <w:rFonts w:ascii="Calibri" w:hAnsi="Calibri" w:cs="Calibri"/>
          <w:lang w:val="en-US"/>
        </w:rPr>
        <w:t>E provider"):</w:t>
      </w:r>
    </w:p>
    <w:p w14:paraId="4E67BF5C" w14:textId="77777777" w:rsidR="003929AA" w:rsidRPr="00940504" w:rsidRDefault="00F4026C" w:rsidP="00AE3815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Run-up (1st quarter of an hour):</w:t>
      </w:r>
    </w:p>
    <w:p w14:paraId="7D2518FD" w14:textId="58E8ED1A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4 MWh (positive </w:t>
      </w:r>
      <w:r w:rsidR="00AE3815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E) will be reported on the TV5 profile </w:t>
      </w:r>
      <w:r w:rsidR="001F3B83" w:rsidRPr="00940504">
        <w:rPr>
          <w:rFonts w:ascii="Calibri" w:hAnsi="Calibri" w:cs="Calibri"/>
          <w:lang w:val="en-US"/>
        </w:rPr>
        <w:t>in the interval 0:00-0:15</w:t>
      </w:r>
      <w:r w:rsidRPr="00940504">
        <w:rPr>
          <w:rFonts w:ascii="Calibri" w:hAnsi="Calibri" w:cs="Calibri"/>
          <w:lang w:val="en-US"/>
        </w:rPr>
        <w:t>;</w:t>
      </w:r>
    </w:p>
    <w:p w14:paraId="133CA9AF" w14:textId="77777777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TP5 profile will show 200 CZK/MWh (positive price) </w:t>
      </w:r>
      <w:r w:rsidR="001F3B83" w:rsidRPr="00940504">
        <w:rPr>
          <w:rFonts w:ascii="Calibri" w:hAnsi="Calibri" w:cs="Calibri"/>
          <w:lang w:val="en-US"/>
        </w:rPr>
        <w:t>in the interval 0:00-0:15</w:t>
      </w:r>
      <w:r w:rsidRPr="00940504">
        <w:rPr>
          <w:rFonts w:ascii="Calibri" w:hAnsi="Calibri" w:cs="Calibri"/>
          <w:lang w:val="en-US"/>
        </w:rPr>
        <w:t>;</w:t>
      </w:r>
    </w:p>
    <w:p w14:paraId="19465726" w14:textId="77777777" w:rsidR="003929AA" w:rsidRPr="00940504" w:rsidRDefault="00F4026C" w:rsidP="00AE3815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Activation (2nd quarter hour):</w:t>
      </w:r>
    </w:p>
    <w:p w14:paraId="3A8A059A" w14:textId="343844DA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TV1 profile will show 20 MWh (positive </w:t>
      </w:r>
      <w:r w:rsidR="00AE3815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E) </w:t>
      </w:r>
      <w:r w:rsidR="001F3B83" w:rsidRPr="00940504">
        <w:rPr>
          <w:rFonts w:ascii="Calibri" w:hAnsi="Calibri" w:cs="Calibri"/>
          <w:lang w:val="en-US"/>
        </w:rPr>
        <w:t>in the interval 0:15-0:30</w:t>
      </w:r>
      <w:r w:rsidRPr="00940504">
        <w:rPr>
          <w:rFonts w:ascii="Calibri" w:hAnsi="Calibri" w:cs="Calibri"/>
          <w:lang w:val="en-US"/>
        </w:rPr>
        <w:t>;</w:t>
      </w:r>
    </w:p>
    <w:p w14:paraId="5C05B2A5" w14:textId="77777777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TP1 profile will show 200 CZK/MWh (positive price) </w:t>
      </w:r>
      <w:r w:rsidR="001F3B83" w:rsidRPr="00940504">
        <w:rPr>
          <w:rFonts w:ascii="Calibri" w:hAnsi="Calibri" w:cs="Calibri"/>
          <w:lang w:val="en-US"/>
        </w:rPr>
        <w:t>in the interval 0:15-0:30</w:t>
      </w:r>
      <w:r w:rsidRPr="00940504">
        <w:rPr>
          <w:rFonts w:ascii="Calibri" w:hAnsi="Calibri" w:cs="Calibri"/>
          <w:lang w:val="en-US"/>
        </w:rPr>
        <w:t>;</w:t>
      </w:r>
    </w:p>
    <w:p w14:paraId="61A34BA4" w14:textId="77777777" w:rsidR="003929AA" w:rsidRPr="00940504" w:rsidRDefault="00F4026C" w:rsidP="00AE3815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>Time (3rd quarter of an hour):</w:t>
      </w:r>
    </w:p>
    <w:p w14:paraId="5099BB67" w14:textId="012A31CB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6 MWh (positive </w:t>
      </w:r>
      <w:r w:rsidR="00AE3815">
        <w:rPr>
          <w:rFonts w:ascii="Calibri" w:hAnsi="Calibri" w:cs="Calibri"/>
          <w:lang w:val="en-US"/>
        </w:rPr>
        <w:t>B</w:t>
      </w:r>
      <w:r w:rsidRPr="00940504">
        <w:rPr>
          <w:rFonts w:ascii="Calibri" w:hAnsi="Calibri" w:cs="Calibri"/>
          <w:lang w:val="en-US"/>
        </w:rPr>
        <w:t xml:space="preserve">E) will be reported on the TV7 profile </w:t>
      </w:r>
      <w:r w:rsidR="001F3B83" w:rsidRPr="00940504">
        <w:rPr>
          <w:rFonts w:ascii="Calibri" w:hAnsi="Calibri" w:cs="Calibri"/>
          <w:lang w:val="en-US"/>
        </w:rPr>
        <w:t>in the interval 0:30-0:45</w:t>
      </w:r>
      <w:r w:rsidRPr="00940504">
        <w:rPr>
          <w:rFonts w:ascii="Calibri" w:hAnsi="Calibri" w:cs="Calibri"/>
          <w:lang w:val="en-US"/>
        </w:rPr>
        <w:t>;</w:t>
      </w:r>
    </w:p>
    <w:p w14:paraId="34B73CAE" w14:textId="77777777" w:rsidR="003929AA" w:rsidRPr="00940504" w:rsidRDefault="00F4026C" w:rsidP="00AE3815">
      <w:pPr>
        <w:numPr>
          <w:ilvl w:val="2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n-US"/>
        </w:rPr>
      </w:pPr>
      <w:r w:rsidRPr="00940504">
        <w:rPr>
          <w:rFonts w:ascii="Calibri" w:hAnsi="Calibri" w:cs="Calibri"/>
          <w:lang w:val="en-US"/>
        </w:rPr>
        <w:t xml:space="preserve">TP7 profile will show 200 CZK/MWh (positive price) </w:t>
      </w:r>
      <w:r w:rsidR="001F3B83" w:rsidRPr="00940504">
        <w:rPr>
          <w:rFonts w:ascii="Calibri" w:hAnsi="Calibri" w:cs="Calibri"/>
          <w:lang w:val="en-US"/>
        </w:rPr>
        <w:t>in the interval 0:30-0:45</w:t>
      </w:r>
      <w:r w:rsidRPr="00940504">
        <w:rPr>
          <w:rFonts w:ascii="Calibri" w:hAnsi="Calibri" w:cs="Calibri"/>
          <w:lang w:val="en-US"/>
        </w:rPr>
        <w:t>;</w:t>
      </w:r>
    </w:p>
    <w:p w14:paraId="749FA604" w14:textId="77777777" w:rsidR="003D1760" w:rsidRPr="00940504" w:rsidRDefault="003D1760" w:rsidP="006B425F">
      <w:pPr>
        <w:jc w:val="both"/>
        <w:rPr>
          <w:lang w:val="en-US"/>
        </w:rPr>
      </w:pPr>
    </w:p>
    <w:sectPr w:rsidR="003D1760" w:rsidRPr="0094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1641" w14:textId="77777777" w:rsidR="00D6116D" w:rsidRDefault="00D6116D" w:rsidP="005F0E59">
      <w:pPr>
        <w:spacing w:after="0" w:line="240" w:lineRule="auto"/>
      </w:pPr>
      <w:r>
        <w:separator/>
      </w:r>
    </w:p>
  </w:endnote>
  <w:endnote w:type="continuationSeparator" w:id="0">
    <w:p w14:paraId="5D949E53" w14:textId="77777777" w:rsidR="00D6116D" w:rsidRDefault="00D6116D" w:rsidP="005F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3E9D" w14:textId="77777777" w:rsidR="00D6116D" w:rsidRDefault="00D6116D" w:rsidP="005F0E59">
      <w:pPr>
        <w:spacing w:after="0" w:line="240" w:lineRule="auto"/>
      </w:pPr>
      <w:r>
        <w:separator/>
      </w:r>
    </w:p>
  </w:footnote>
  <w:footnote w:type="continuationSeparator" w:id="0">
    <w:p w14:paraId="2F38A02E" w14:textId="77777777" w:rsidR="00D6116D" w:rsidRDefault="00D6116D" w:rsidP="005F0E59">
      <w:pPr>
        <w:spacing w:after="0" w:line="240" w:lineRule="auto"/>
      </w:pPr>
      <w:r>
        <w:continuationSeparator/>
      </w:r>
    </w:p>
  </w:footnote>
  <w:footnote w:id="1">
    <w:p w14:paraId="58504E2B" w14:textId="66EC4413" w:rsidR="008B1D1D" w:rsidRDefault="00F4026C">
      <w:pPr>
        <w:pStyle w:val="Textpoznpodarou"/>
        <w:spacing w:after="0"/>
      </w:pPr>
      <w:r>
        <w:rPr>
          <w:rStyle w:val="Znakapoznpodarou"/>
        </w:rPr>
        <w:footnoteRef/>
      </w:r>
      <w:r w:rsidRPr="00331FC1">
        <w:rPr>
          <w:rFonts w:ascii="Calibri" w:hAnsi="Calibri" w:cs="Calibri"/>
          <w:szCs w:val="24"/>
        </w:rPr>
        <w:t xml:space="preserve"> Odd/Even = </w:t>
      </w:r>
      <w:r w:rsidR="000F32FB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E+/</w:t>
      </w:r>
      <w:r w:rsidR="000F32FB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E-</w:t>
      </w:r>
    </w:p>
  </w:footnote>
  <w:footnote w:id="2">
    <w:p w14:paraId="1BD39C38" w14:textId="64234F42" w:rsidR="008B1D1D" w:rsidRDefault="00F4026C">
      <w:pPr>
        <w:pStyle w:val="Textpoznpodarou"/>
        <w:spacing w:after="0"/>
      </w:pPr>
      <w:r>
        <w:rPr>
          <w:rStyle w:val="Znakapoznpodarou"/>
        </w:rPr>
        <w:footnoteRef/>
      </w:r>
      <w:r w:rsidRPr="00331FC1">
        <w:rPr>
          <w:rFonts w:ascii="Calibri" w:hAnsi="Calibri" w:cs="Calibri"/>
          <w:szCs w:val="24"/>
        </w:rPr>
        <w:t xml:space="preserve"> Odd/Even = </w:t>
      </w:r>
      <w:r w:rsidR="001B1455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E+/</w:t>
      </w:r>
      <w:r w:rsidR="001B1455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E-</w:t>
      </w:r>
    </w:p>
  </w:footnote>
  <w:footnote w:id="3">
    <w:p w14:paraId="201CC698" w14:textId="617E91A7" w:rsidR="008B1D1D" w:rsidRDefault="00F4026C">
      <w:pPr>
        <w:pStyle w:val="Textpoznpodarou"/>
        <w:spacing w:after="0"/>
      </w:pPr>
      <w:r>
        <w:rPr>
          <w:rStyle w:val="Znakapoznpodarou"/>
        </w:rPr>
        <w:footnoteRef/>
      </w:r>
      <w:r w:rsidRPr="00331FC1">
        <w:rPr>
          <w:rFonts w:ascii="Calibri" w:hAnsi="Calibri" w:cs="Calibri"/>
          <w:szCs w:val="24"/>
        </w:rPr>
        <w:t xml:space="preserve"> Odd/Even = </w:t>
      </w:r>
      <w:r w:rsidR="001B1455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E+/</w:t>
      </w:r>
      <w:r w:rsidR="001B1455">
        <w:rPr>
          <w:rFonts w:ascii="Calibri" w:hAnsi="Calibri" w:cs="Calibri"/>
          <w:szCs w:val="24"/>
        </w:rPr>
        <w:t>B</w:t>
      </w:r>
      <w:r w:rsidRPr="00331FC1">
        <w:rPr>
          <w:rFonts w:ascii="Calibri" w:hAnsi="Calibri" w:cs="Calibri"/>
          <w:szCs w:val="24"/>
        </w:rPr>
        <w:t>E-</w:t>
      </w:r>
    </w:p>
  </w:footnote>
  <w:footnote w:id="4">
    <w:p w14:paraId="0AFB7C2E" w14:textId="77777777" w:rsidR="008B1D1D" w:rsidRDefault="008B1D1D" w:rsidP="005F0E5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500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91AA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11D6872"/>
    <w:multiLevelType w:val="hybridMultilevel"/>
    <w:tmpl w:val="FFFFFFFF"/>
    <w:lvl w:ilvl="0" w:tplc="4D5AF216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E62DD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FC366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FF857E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E5964D3"/>
    <w:multiLevelType w:val="hybridMultilevel"/>
    <w:tmpl w:val="FFFFFFFF"/>
    <w:lvl w:ilvl="0" w:tplc="A740C39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908B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CA63D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77FF352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446178">
    <w:abstractNumId w:val="7"/>
  </w:num>
  <w:num w:numId="2" w16cid:durableId="829294723">
    <w:abstractNumId w:val="1"/>
  </w:num>
  <w:num w:numId="3" w16cid:durableId="1235043282">
    <w:abstractNumId w:val="2"/>
  </w:num>
  <w:num w:numId="4" w16cid:durableId="215362279">
    <w:abstractNumId w:val="5"/>
  </w:num>
  <w:num w:numId="5" w16cid:durableId="358706414">
    <w:abstractNumId w:val="4"/>
  </w:num>
  <w:num w:numId="6" w16cid:durableId="668875298">
    <w:abstractNumId w:val="9"/>
  </w:num>
  <w:num w:numId="7" w16cid:durableId="2004620603">
    <w:abstractNumId w:val="0"/>
  </w:num>
  <w:num w:numId="8" w16cid:durableId="877933632">
    <w:abstractNumId w:val="8"/>
  </w:num>
  <w:num w:numId="9" w16cid:durableId="897785803">
    <w:abstractNumId w:val="6"/>
  </w:num>
  <w:num w:numId="10" w16cid:durableId="180036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7C"/>
    <w:rsid w:val="000423E6"/>
    <w:rsid w:val="00044878"/>
    <w:rsid w:val="000511A2"/>
    <w:rsid w:val="00051F41"/>
    <w:rsid w:val="00060426"/>
    <w:rsid w:val="00074E7C"/>
    <w:rsid w:val="00096B33"/>
    <w:rsid w:val="000C6912"/>
    <w:rsid w:val="000D2E04"/>
    <w:rsid w:val="000F32FB"/>
    <w:rsid w:val="0011764E"/>
    <w:rsid w:val="00125665"/>
    <w:rsid w:val="00163046"/>
    <w:rsid w:val="00180AFE"/>
    <w:rsid w:val="00192F3D"/>
    <w:rsid w:val="001A0182"/>
    <w:rsid w:val="001B1455"/>
    <w:rsid w:val="001E45F6"/>
    <w:rsid w:val="001F3B83"/>
    <w:rsid w:val="002079EB"/>
    <w:rsid w:val="00242773"/>
    <w:rsid w:val="00265DDE"/>
    <w:rsid w:val="00280D94"/>
    <w:rsid w:val="002813D3"/>
    <w:rsid w:val="002B28F6"/>
    <w:rsid w:val="002B3E8A"/>
    <w:rsid w:val="002C5F5C"/>
    <w:rsid w:val="002E5B53"/>
    <w:rsid w:val="00307553"/>
    <w:rsid w:val="0031358B"/>
    <w:rsid w:val="00331FC1"/>
    <w:rsid w:val="00337931"/>
    <w:rsid w:val="00361600"/>
    <w:rsid w:val="00365B66"/>
    <w:rsid w:val="003929AA"/>
    <w:rsid w:val="003D1760"/>
    <w:rsid w:val="003E67D1"/>
    <w:rsid w:val="00403A8E"/>
    <w:rsid w:val="004278BA"/>
    <w:rsid w:val="004332E2"/>
    <w:rsid w:val="004821EB"/>
    <w:rsid w:val="00497FEE"/>
    <w:rsid w:val="004C070D"/>
    <w:rsid w:val="004E55E6"/>
    <w:rsid w:val="00513EA7"/>
    <w:rsid w:val="005426D7"/>
    <w:rsid w:val="005A21A4"/>
    <w:rsid w:val="005A7FEE"/>
    <w:rsid w:val="005B3C7B"/>
    <w:rsid w:val="005D42D9"/>
    <w:rsid w:val="005F0E59"/>
    <w:rsid w:val="005F21EC"/>
    <w:rsid w:val="00605A6E"/>
    <w:rsid w:val="00613FED"/>
    <w:rsid w:val="00655448"/>
    <w:rsid w:val="00660346"/>
    <w:rsid w:val="00682386"/>
    <w:rsid w:val="006B425F"/>
    <w:rsid w:val="006E75DA"/>
    <w:rsid w:val="0077380E"/>
    <w:rsid w:val="00804BFD"/>
    <w:rsid w:val="008216F3"/>
    <w:rsid w:val="0082459A"/>
    <w:rsid w:val="008328A4"/>
    <w:rsid w:val="0086576E"/>
    <w:rsid w:val="008717EF"/>
    <w:rsid w:val="008B1D1D"/>
    <w:rsid w:val="008F2378"/>
    <w:rsid w:val="00906F6F"/>
    <w:rsid w:val="00940504"/>
    <w:rsid w:val="00944F28"/>
    <w:rsid w:val="00994A08"/>
    <w:rsid w:val="009B3155"/>
    <w:rsid w:val="009B3A4C"/>
    <w:rsid w:val="00A038D3"/>
    <w:rsid w:val="00A0773F"/>
    <w:rsid w:val="00A309C9"/>
    <w:rsid w:val="00A35CCC"/>
    <w:rsid w:val="00A36924"/>
    <w:rsid w:val="00A500F1"/>
    <w:rsid w:val="00A62237"/>
    <w:rsid w:val="00A75187"/>
    <w:rsid w:val="00A829CF"/>
    <w:rsid w:val="00AA0AFE"/>
    <w:rsid w:val="00AA768E"/>
    <w:rsid w:val="00AA7AD8"/>
    <w:rsid w:val="00AE3815"/>
    <w:rsid w:val="00AF61B7"/>
    <w:rsid w:val="00B64D21"/>
    <w:rsid w:val="00BB3FC5"/>
    <w:rsid w:val="00BD3CE1"/>
    <w:rsid w:val="00BE09F4"/>
    <w:rsid w:val="00C22535"/>
    <w:rsid w:val="00C70044"/>
    <w:rsid w:val="00C80E52"/>
    <w:rsid w:val="00CE1FDE"/>
    <w:rsid w:val="00CE7400"/>
    <w:rsid w:val="00D13AC5"/>
    <w:rsid w:val="00D32327"/>
    <w:rsid w:val="00D6116D"/>
    <w:rsid w:val="00D8058A"/>
    <w:rsid w:val="00D808D0"/>
    <w:rsid w:val="00DD2817"/>
    <w:rsid w:val="00E2151C"/>
    <w:rsid w:val="00E4131E"/>
    <w:rsid w:val="00E45220"/>
    <w:rsid w:val="00E73C01"/>
    <w:rsid w:val="00E758B8"/>
    <w:rsid w:val="00EA0E36"/>
    <w:rsid w:val="00EE0895"/>
    <w:rsid w:val="00EF69BE"/>
    <w:rsid w:val="00F06815"/>
    <w:rsid w:val="00F20337"/>
    <w:rsid w:val="00F339FF"/>
    <w:rsid w:val="00F4026C"/>
    <w:rsid w:val="00F57CC9"/>
    <w:rsid w:val="00F71A9D"/>
    <w:rsid w:val="00FA33B5"/>
    <w:rsid w:val="00FA6F9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A59FD"/>
  <w14:defaultImageDpi w14:val="0"/>
  <w15:docId w15:val="{3FF01605-DFD8-4AF5-BBA8-B916596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35CCC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CC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5CCC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CC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5CC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5CC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paragraph" w:styleId="Odstavecseseznamem">
    <w:name w:val="List Paragraph"/>
    <w:aliases w:val="Párrafo de lista1"/>
    <w:basedOn w:val="Normln"/>
    <w:link w:val="OdstavecseseznamemChar"/>
    <w:uiPriority w:val="34"/>
    <w:qFormat/>
    <w:rsid w:val="00A35C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0E59"/>
    <w:pPr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0E5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0E5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6D7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6D7"/>
    <w:rPr>
      <w:rFonts w:cs="Times New Roman"/>
      <w:color w:val="605E5C"/>
      <w:shd w:val="clear" w:color="auto" w:fill="E1DFDD"/>
    </w:rPr>
  </w:style>
  <w:style w:type="character" w:customStyle="1" w:styleId="OdstavecseseznamemChar">
    <w:name w:val="Odstavec se seznamem Char"/>
    <w:aliases w:val="Párrafo de lista1 Char"/>
    <w:basedOn w:val="Standardnpsmoodstavce"/>
    <w:link w:val="Odstavecseseznamem"/>
    <w:uiPriority w:val="34"/>
    <w:rsid w:val="003D1760"/>
    <w:rPr>
      <w:rFonts w:cs="Times New Roman"/>
    </w:rPr>
  </w:style>
  <w:style w:type="paragraph" w:styleId="Revize">
    <w:name w:val="Revision"/>
    <w:hidden/>
    <w:uiPriority w:val="99"/>
    <w:semiHidden/>
    <w:rsid w:val="006B425F"/>
    <w:pPr>
      <w:spacing w:after="0" w:line="240" w:lineRule="auto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8058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58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58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te-cr.cz/cs/dokumentace/dokumentace-elektrina/dokumentace-elektrina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1849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>, docId:B5C897DAD940C85AE2BEAD9891DE5CED</cp:keywords>
  <dc:description/>
  <cp:lastModifiedBy>JH</cp:lastModifiedBy>
  <cp:revision>3</cp:revision>
  <dcterms:created xsi:type="dcterms:W3CDTF">2024-08-27T11:36:00Z</dcterms:created>
  <dcterms:modified xsi:type="dcterms:W3CDTF">2024-08-27T14:38:00Z</dcterms:modified>
</cp:coreProperties>
</file>